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C" w:rsidRDefault="009D003C" w:rsidP="009D003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9D003C" w:rsidRDefault="009D003C" w:rsidP="009D003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 СЕЛЬСКОГО ПОСЕЛЕНИЯ КЛЕТСКОГО МУНИЦИПАЛЬНОГО РАЙОНА  ВОЛГОГРАДСКОЙ  ОБЛАСТИ</w:t>
      </w:r>
    </w:p>
    <w:p w:rsidR="009D003C" w:rsidRDefault="009D003C" w:rsidP="009D003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Pr="00D3235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ОЗЫВА</w:t>
      </w:r>
    </w:p>
    <w:p w:rsidR="009D003C" w:rsidRDefault="009D003C" w:rsidP="009D003C">
      <w:pPr>
        <w:pStyle w:val="a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D003C" w:rsidRDefault="009D003C" w:rsidP="009D003C">
      <w:pPr>
        <w:pStyle w:val="a4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9D003C" w:rsidRDefault="009D003C" w:rsidP="009D003C">
      <w:pPr>
        <w:pStyle w:val="a4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9D003C" w:rsidRDefault="009D003C" w:rsidP="009D003C">
      <w:pPr>
        <w:pStyle w:val="a4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г. Волгограда ИНН/ КПП 3412301267/341201001</w:t>
      </w:r>
    </w:p>
    <w:p w:rsidR="009D003C" w:rsidRDefault="009D003C" w:rsidP="009D003C">
      <w:pPr>
        <w:pStyle w:val="a4"/>
        <w:jc w:val="center"/>
        <w:rPr>
          <w:rFonts w:eastAsia="Calibri"/>
        </w:rPr>
      </w:pP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РЕШЕНИЕ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13693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</w:t>
      </w:r>
      <w:r w:rsidR="008B0D4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мая </w:t>
      </w:r>
      <w:r w:rsidR="009D003C"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18 </w:t>
      </w:r>
      <w:r w:rsidR="009D003C"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8B0D4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</w:t>
      </w:r>
      <w:r w:rsidR="009D003C"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20/73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ind w:right="45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79D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Об утверждении Порядка сообщения лицами, замещающими муниципальные должности,</w:t>
      </w:r>
      <w:r w:rsidRPr="006179D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179D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ind w:right="481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частью 4.1 статьи 12.1 Федерального закона</w:t>
      </w:r>
      <w:r w:rsidRPr="006179D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br/>
        <w:t xml:space="preserve">от 25 декабря 2008 года № 273-ФЗ  «О противодействии коррупции» Совет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Захаровского сельского поселения</w:t>
      </w: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решил: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1. Утвердить Порядок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(приложение).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Обнародовать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настоящее решение в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установленном порядке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3. Контроль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за выполнением настоящего решения возложить на главу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Захаровского сельского поселения Кийкова Е. А.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D003C" w:rsidRDefault="009D003C" w:rsidP="009D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Захаровского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                   </w:t>
      </w:r>
      <w:r w:rsidR="008B0D4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  Е. А. Кийков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Утвержден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решени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ем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Совета депутатов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Захаровского сельского поселения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от </w:t>
      </w:r>
      <w:r w:rsidR="009136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</w:t>
      </w:r>
      <w:r w:rsidR="008B0D4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</w:t>
      </w:r>
      <w:r w:rsidR="009136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.05.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18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№ </w:t>
      </w:r>
      <w:r w:rsidR="009136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20/73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сообщения</w:t>
      </w:r>
      <w:r w:rsidRPr="006179DE">
        <w:rPr>
          <w:rFonts w:ascii="Times New Roman" w:eastAsia="Times New Roman" w:hAnsi="Times New Roman"/>
          <w:b/>
          <w:bCs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лицами, замещающими муниципальные должности,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1. Настоящий Порядок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регулирует вопросы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2. Лица, замещающие муниципальные должности, обязаны в соответствии с законодательством Российской Федерации о противодействии коррупции сообщать в комиссию 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Захаровского сельского поселения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комиссия, Совет депутатов), о возникновении личной заинтересованности, а также принимать меры по предотвращению или урегулированию такого конфликта.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Pr="006179D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не позднее рабочего дня, следующего за днем, когда указанному лицу стало об этом известно.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 Организацию работы с уведомлениями (прием, регистрация и хранение) осуществляет секретарь комиссии.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6. Уведомление регистрируется в журнале регистрации уведомлений, оформленном согласно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приложению 2</w:t>
      </w:r>
      <w:r w:rsidRPr="006179DE">
        <w:rPr>
          <w:rFonts w:eastAsia="Times New Roman" w:cs="Arial"/>
          <w:color w:val="000000"/>
          <w:sz w:val="24"/>
          <w:szCs w:val="24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 настоящему Порядку,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 день его поступления.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Листы журнала регистрации уведомлений должны быть пронумерованы, прошнурованы и скреплены печатью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Совета депутатов и</w:t>
      </w:r>
      <w:r w:rsidRPr="006179DE">
        <w:rPr>
          <w:rFonts w:ascii="Times New Roman" w:eastAsia="Times New Roman" w:hAnsi="Times New Roman"/>
          <w:i/>
          <w:iCs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заверены подписью главы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Захаровского сельского поселения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 Журнал регистрации уведомлений подлежит хранению в условиях, исключающих доступ к нему посторонних лиц.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7. На уведомлении указывается дата и регистрационный номер, фамилия, инициалы, должность и подпись секретаря комиссии.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8. Зарегистрированное уведомление передается председателю комиссии</w:t>
      </w:r>
      <w:r w:rsidRPr="006179DE">
        <w:rPr>
          <w:rFonts w:ascii="Times New Roman" w:eastAsia="Times New Roman" w:hAnsi="Times New Roman"/>
          <w:i/>
          <w:iCs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не позднее двух рабочих дней со дня его регистрации.</w:t>
      </w:r>
    </w:p>
    <w:p w:rsidR="009D003C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9. 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В ходе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9D003C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. По результатам рассмотрения уведомления Комиссия подготавливает мотивированное заключение.</w:t>
      </w:r>
      <w:bookmarkStart w:id="0" w:name="Par2"/>
      <w:bookmarkEnd w:id="0"/>
    </w:p>
    <w:p w:rsidR="009D003C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Уведомление, заключение и другие материалы, полученные в ходе рассмотрения уведомления, представляются Комиссией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главе Захаровского сельского поселения</w:t>
      </w:r>
      <w:r w:rsidRPr="00D37E03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в течение 7 рабочих дней со дня поступления уведомления в Комиссию на рассмотрение.</w:t>
      </w:r>
    </w:p>
    <w:p w:rsidR="009D003C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В случае направления запросов, указанных в пункте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настоящего По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рядка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уведомление, заключение и другие материалы представляются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главе Захаровского сельского поселения 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течение 45 рабочих дней со дня поступления уведомления в Комиссию на рассмотрение. Указанный срок может быть продлен по решению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главы Захаровского сельского поселения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, но не более чем на 30 календарных дней.</w:t>
      </w:r>
      <w:bookmarkStart w:id="1" w:name="_GoBack"/>
      <w:bookmarkEnd w:id="1"/>
    </w:p>
    <w:p w:rsidR="009D003C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Захаровского сельского поселения 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порядке и сроки, установленные регламентом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Совета депутатов Захаровского сельского поселения</w:t>
      </w:r>
      <w:r w:rsidRPr="00D37E0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,</w:t>
      </w:r>
      <w:r w:rsidRPr="00D37E03"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Совета депутатов Захаровского сельского поселения</w:t>
      </w:r>
      <w:r w:rsidRPr="00D37E03"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от дня представления ему Комиссией уведомления, заключения и других материалов, полученных в ходе рассмотрения уведомления.</w:t>
      </w:r>
    </w:p>
    <w:p w:rsidR="009D003C" w:rsidRPr="00D37E03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. По результатам рассмотрения документов, предусмотренных пунктом 13 настоящего По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рядка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Совет депутатов Захаровского сельского поселения </w:t>
      </w:r>
      <w:r w:rsidRPr="00D37E03">
        <w:rPr>
          <w:rFonts w:ascii="Times New Roman" w:hAnsi="Times New Roman"/>
          <w:sz w:val="28"/>
          <w:szCs w:val="28"/>
          <w:bdr w:val="none" w:sz="0" w:space="0" w:color="auto" w:frame="1"/>
        </w:rPr>
        <w:t>принимает одно из следующих решений:</w:t>
      </w:r>
    </w:p>
    <w:p w:rsidR="009D003C" w:rsidRPr="00D37E03" w:rsidRDefault="009D003C" w:rsidP="009D003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37E03">
        <w:rPr>
          <w:sz w:val="28"/>
          <w:szCs w:val="28"/>
          <w:bdr w:val="none" w:sz="0" w:space="0" w:color="auto" w:frame="1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9D003C" w:rsidRPr="00D37E03" w:rsidRDefault="009D003C" w:rsidP="009D003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bookmarkStart w:id="2" w:name="Par6"/>
      <w:bookmarkEnd w:id="2"/>
      <w:r w:rsidRPr="00D37E03">
        <w:rPr>
          <w:sz w:val="28"/>
          <w:szCs w:val="28"/>
          <w:bdr w:val="none" w:sz="0" w:space="0" w:color="auto" w:frame="1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9D003C" w:rsidRDefault="009D003C" w:rsidP="009D003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37E03">
        <w:rPr>
          <w:sz w:val="28"/>
          <w:szCs w:val="28"/>
          <w:bdr w:val="none" w:sz="0" w:space="0" w:color="auto" w:frame="1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9D003C" w:rsidRPr="00D37E03" w:rsidRDefault="009D003C" w:rsidP="009D003C">
      <w:pPr>
        <w:pStyle w:val="a3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D37E03">
        <w:rPr>
          <w:sz w:val="28"/>
          <w:szCs w:val="28"/>
          <w:bdr w:val="none" w:sz="0" w:space="0" w:color="auto" w:frame="1"/>
        </w:rPr>
        <w:lastRenderedPageBreak/>
        <w:t>1</w:t>
      </w:r>
      <w:r>
        <w:rPr>
          <w:sz w:val="28"/>
          <w:szCs w:val="28"/>
          <w:bdr w:val="none" w:sz="0" w:space="0" w:color="auto" w:frame="1"/>
        </w:rPr>
        <w:t>5</w:t>
      </w:r>
      <w:r w:rsidRPr="00D37E03">
        <w:rPr>
          <w:sz w:val="28"/>
          <w:szCs w:val="28"/>
          <w:bdr w:val="none" w:sz="0" w:space="0" w:color="auto" w:frame="1"/>
        </w:rPr>
        <w:t>. В случае принятия решения, предусмотренного подпунктом 2 и 3 пункта 1</w:t>
      </w:r>
      <w:r>
        <w:rPr>
          <w:sz w:val="28"/>
          <w:szCs w:val="28"/>
          <w:bdr w:val="none" w:sz="0" w:space="0" w:color="auto" w:frame="1"/>
        </w:rPr>
        <w:t>4</w:t>
      </w:r>
      <w:r w:rsidRPr="00D37E03">
        <w:rPr>
          <w:sz w:val="28"/>
          <w:szCs w:val="28"/>
          <w:bdr w:val="none" w:sz="0" w:space="0" w:color="auto" w:frame="1"/>
        </w:rPr>
        <w:t xml:space="preserve"> настоящего Положения, </w:t>
      </w:r>
      <w:r>
        <w:rPr>
          <w:sz w:val="28"/>
          <w:szCs w:val="28"/>
          <w:bdr w:val="none" w:sz="0" w:space="0" w:color="auto" w:frame="1"/>
        </w:rPr>
        <w:t xml:space="preserve">Совет депутатов Захаровского сельского поселения </w:t>
      </w:r>
      <w:r w:rsidRPr="00D37E03">
        <w:rPr>
          <w:sz w:val="28"/>
          <w:szCs w:val="28"/>
          <w:bdr w:val="none" w:sz="0" w:space="0" w:color="auto" w:frame="1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D003C" w:rsidRPr="006179DE" w:rsidRDefault="009D003C" w:rsidP="009D003C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br w:type="page"/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 Порядку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сообщения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В комиссию 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Захаровского сельского поселения 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от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  <w:t>__________________________________________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  <w:t>_____________________________________________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  <w:t>(Ф.И.О., замещаемая муниципальная должность)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Уведомление</w:t>
      </w:r>
      <w:bookmarkStart w:id="3" w:name="_ftnref1"/>
      <w:bookmarkEnd w:id="3"/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[1]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Сообщаю о возникновении у меня личной заинтересованности при осуществлении полномочий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     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  <w:t>(наименование замещаемой муниципальной должности)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которая приводит или может привести к конфликту интересов (нужное подчеркнуть).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Обстоятельства, являющиеся основанием возникновения личной заинтересованности: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br/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"/>
          <w:szCs w:val="2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Предлагаемые меры по предотвращению или урегулированию конфликта интересов: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_________________________________________ _____________________________________________________________________________________________________________________________________________________________________________________________________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"/>
          <w:szCs w:val="2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"/>
          <w:szCs w:val="2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Намереваюсь (не намереваюсь) лично присутствовать на заседании комиссии 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Захаровского сельского поселения</w:t>
      </w:r>
      <w:r w:rsidRPr="006179DE">
        <w:rPr>
          <w:rFonts w:ascii="Times New Roman" w:eastAsia="Times New Roman" w:hAnsi="Times New Roman"/>
          <w:i/>
          <w:iCs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6179DE">
        <w:rPr>
          <w:rFonts w:eastAsia="Times New Roman" w:cs="Arial"/>
          <w:b/>
          <w:bCs/>
          <w:color w:val="000000"/>
          <w:sz w:val="24"/>
          <w:szCs w:val="24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при рассмотрении настоящего уведомления (нужное подчеркнуть).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"/>
        <w:gridCol w:w="396"/>
        <w:gridCol w:w="227"/>
        <w:gridCol w:w="1245"/>
        <w:gridCol w:w="369"/>
        <w:gridCol w:w="369"/>
        <w:gridCol w:w="680"/>
        <w:gridCol w:w="3116"/>
        <w:gridCol w:w="413"/>
        <w:gridCol w:w="2379"/>
      </w:tblGrid>
      <w:tr w:rsidR="009D003C" w:rsidRPr="006179DE" w:rsidTr="00604714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003C" w:rsidRPr="006179DE" w:rsidRDefault="009D003C" w:rsidP="006047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D003C" w:rsidRPr="006179DE" w:rsidRDefault="009D003C" w:rsidP="006047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003C" w:rsidRPr="006179DE" w:rsidRDefault="009D003C" w:rsidP="006047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003C" w:rsidRPr="006179DE" w:rsidRDefault="009D003C" w:rsidP="00604714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D003C" w:rsidRPr="006179DE" w:rsidTr="00604714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003C" w:rsidRPr="006179DE" w:rsidRDefault="009D003C" w:rsidP="00604714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003C" w:rsidRPr="006179DE" w:rsidRDefault="009D003C" w:rsidP="0060471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003C" w:rsidRPr="006179DE" w:rsidRDefault="009D003C" w:rsidP="00604714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003C" w:rsidRPr="006179DE" w:rsidRDefault="009D003C" w:rsidP="0060471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003C" w:rsidRPr="006179DE" w:rsidRDefault="009D003C" w:rsidP="00604714">
            <w:pPr>
              <w:spacing w:after="0" w:line="7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003C" w:rsidRPr="006179DE" w:rsidRDefault="009D003C" w:rsidP="00604714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003C" w:rsidRPr="006179DE" w:rsidRDefault="009D003C" w:rsidP="00604714">
            <w:pPr>
              <w:spacing w:after="0" w:line="70" w:lineRule="atLeast"/>
              <w:ind w:left="5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003C" w:rsidRPr="006179DE" w:rsidRDefault="009D003C" w:rsidP="0060471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(подпись лица, замещающего муниципальную должность, направляющего уведомление)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003C" w:rsidRPr="006179DE" w:rsidRDefault="009D003C" w:rsidP="00604714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003C" w:rsidRPr="006179DE" w:rsidRDefault="009D003C" w:rsidP="0060471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</w:tbl>
    <w:p w:rsidR="009D003C" w:rsidRPr="006179DE" w:rsidRDefault="009D003C" w:rsidP="009D003C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br w:type="page"/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 Порядку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сообщения</w:t>
      </w:r>
      <w:r w:rsidRPr="006179DE">
        <w:rPr>
          <w:rFonts w:ascii="Times New Roman" w:eastAsia="Times New Roman" w:hAnsi="Times New Roman"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Журнал регистрации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уведомлений о</w:t>
      </w:r>
      <w:r w:rsidRPr="006179DE">
        <w:rPr>
          <w:rFonts w:ascii="Times New Roman" w:eastAsia="Times New Roman" w:hAnsi="Times New Roman"/>
          <w:b/>
          <w:bCs/>
          <w:color w:val="000000"/>
          <w:sz w:val="28"/>
        </w:rPr>
        <w:t> </w:t>
      </w: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453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Начат «___» _____________ 20__ года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453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Окончен «___» ___________ 20__ года</w:t>
      </w:r>
    </w:p>
    <w:p w:rsidR="009D003C" w:rsidRPr="006179DE" w:rsidRDefault="009D003C" w:rsidP="009D003C">
      <w:pPr>
        <w:shd w:val="clear" w:color="auto" w:fill="FFFFFF"/>
        <w:spacing w:after="0" w:line="240" w:lineRule="auto"/>
        <w:ind w:firstLine="453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 _____ листах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0350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3828"/>
        <w:gridCol w:w="3403"/>
      </w:tblGrid>
      <w:tr w:rsidR="009D003C" w:rsidRPr="006179DE" w:rsidTr="006047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п</w:t>
            </w:r>
            <w:proofErr w:type="spellEnd"/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Дата поступления и регистрационный номер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Ф.И.О. лица, замещающего муниципальную должность, направившего уведомление, его подпись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Ф.И.О. и должность лица, принявшего уведомление, его подпись</w:t>
            </w:r>
          </w:p>
        </w:tc>
      </w:tr>
      <w:tr w:rsidR="009D003C" w:rsidRPr="006179DE" w:rsidTr="006047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</w:p>
        </w:tc>
      </w:tr>
      <w:tr w:rsidR="009D003C" w:rsidRPr="006179DE" w:rsidTr="006047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9D003C" w:rsidRPr="006179DE" w:rsidTr="006047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3C" w:rsidRPr="006179DE" w:rsidRDefault="009D003C" w:rsidP="00604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79DE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</w:tbl>
    <w:p w:rsidR="009D003C" w:rsidRPr="006179DE" w:rsidRDefault="009D003C" w:rsidP="009D00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 </w:t>
      </w:r>
    </w:p>
    <w:p w:rsidR="009D003C" w:rsidRPr="006179DE" w:rsidRDefault="009D003C" w:rsidP="009D003C">
      <w:pPr>
        <w:shd w:val="clear" w:color="auto" w:fill="FFFFFF"/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Arial" w:eastAsia="Times New Roman" w:hAnsi="Arial" w:cs="Arial"/>
          <w:color w:val="000000"/>
          <w:sz w:val="18"/>
          <w:szCs w:val="18"/>
        </w:rPr>
        <w:br w:type="textWrapping" w:clear="all"/>
      </w:r>
    </w:p>
    <w:p w:rsidR="009D003C" w:rsidRPr="006179DE" w:rsidRDefault="00BB544F" w:rsidP="009D003C">
      <w:pPr>
        <w:shd w:val="clear" w:color="auto" w:fill="FFFFFF"/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B544F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154.35pt;height:.75pt" o:hrpct="330" o:hrstd="t" o:hr="t" fillcolor="#aca899" stroked="f"/>
        </w:pict>
      </w:r>
    </w:p>
    <w:p w:rsidR="009D003C" w:rsidRPr="006179DE" w:rsidRDefault="009D003C" w:rsidP="009D00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_ftn1"/>
      <w:bookmarkEnd w:id="4"/>
      <w:r w:rsidRPr="006179DE">
        <w:rPr>
          <w:rFonts w:eastAsia="Times New Roman" w:cs="Arial"/>
          <w:color w:val="000000"/>
          <w:bdr w:val="none" w:sz="0" w:space="0" w:color="auto" w:frame="1"/>
        </w:rPr>
        <w:t>[1]</w:t>
      </w:r>
      <w:r w:rsidRPr="006179DE">
        <w:rPr>
          <w:rFonts w:eastAsia="Times New Roman" w:cs="Arial"/>
          <w:color w:val="000000"/>
          <w:sz w:val="24"/>
          <w:szCs w:val="24"/>
        </w:rPr>
        <w:t> </w:t>
      </w:r>
      <w:r w:rsidRPr="006179D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  <w:t>Депутат имеет право дополнить уведомление сведениями, которые он считает необходимым сообщить, а также приложить к нему имеющиеся материалы.</w:t>
      </w:r>
    </w:p>
    <w:p w:rsidR="009D003C" w:rsidRPr="006179DE" w:rsidRDefault="009D003C" w:rsidP="009D003C">
      <w:pPr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79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9D003C" w:rsidRDefault="009D003C" w:rsidP="009D003C"/>
    <w:p w:rsidR="002D4798" w:rsidRDefault="002D4798"/>
    <w:sectPr w:rsidR="002D4798" w:rsidSect="003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003C"/>
    <w:rsid w:val="002D4798"/>
    <w:rsid w:val="004258D1"/>
    <w:rsid w:val="008B0D4A"/>
    <w:rsid w:val="00913693"/>
    <w:rsid w:val="009D003C"/>
    <w:rsid w:val="00BB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03C"/>
  </w:style>
  <w:style w:type="paragraph" w:styleId="a4">
    <w:name w:val="No Spacing"/>
    <w:uiPriority w:val="1"/>
    <w:qFormat/>
    <w:rsid w:val="009D003C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1448</Words>
  <Characters>8255</Characters>
  <Application>Microsoft Office Word</Application>
  <DocSecurity>0</DocSecurity>
  <Lines>68</Lines>
  <Paragraphs>19</Paragraphs>
  <ScaleCrop>false</ScaleCrop>
  <Company>Microsoft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2018-05-15T11:29:00Z</dcterms:created>
  <dcterms:modified xsi:type="dcterms:W3CDTF">2018-06-01T07:40:00Z</dcterms:modified>
</cp:coreProperties>
</file>