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2B" w:rsidRPr="00587500" w:rsidRDefault="003E2F2B" w:rsidP="00341808">
      <w:pPr>
        <w:jc w:val="center"/>
        <w:rPr>
          <w:rFonts w:ascii="Century Gothic" w:hAnsi="Century Gothic"/>
          <w:sz w:val="32"/>
          <w:szCs w:val="32"/>
        </w:rPr>
      </w:pPr>
      <w:r w:rsidRPr="00587500">
        <w:rPr>
          <w:rFonts w:ascii="Century Gothic" w:eastAsia="Gabriola" w:hAnsi="Century Gothic" w:cstheme="minorHAnsi"/>
          <w:b/>
          <w:bCs/>
          <w:noProof/>
          <w:color w:val="FFFFFF"/>
          <w:sz w:val="32"/>
          <w:szCs w:val="32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126248</wp:posOffset>
            </wp:positionH>
            <wp:positionV relativeFrom="page">
              <wp:posOffset>251460</wp:posOffset>
            </wp:positionV>
            <wp:extent cx="7347585" cy="3848100"/>
            <wp:effectExtent l="19050" t="0" r="571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585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1808">
        <w:rPr>
          <w:rFonts w:ascii="Century Gothic" w:eastAsia="Gabriola" w:hAnsi="Century Gothic" w:cstheme="minorHAnsi"/>
          <w:b/>
          <w:bCs/>
          <w:color w:val="FFFFFF"/>
          <w:sz w:val="32"/>
          <w:szCs w:val="32"/>
        </w:rPr>
        <w:t>НАКОПИТЕЛЬНАЯ ПЕНСИЯ</w:t>
      </w:r>
    </w:p>
    <w:p w:rsidR="003E2F2B" w:rsidRDefault="003E2F2B" w:rsidP="003E2F2B">
      <w:pPr>
        <w:spacing w:line="200" w:lineRule="exact"/>
        <w:rPr>
          <w:sz w:val="24"/>
          <w:szCs w:val="24"/>
        </w:rPr>
      </w:pPr>
    </w:p>
    <w:p w:rsidR="003E2F2B" w:rsidRDefault="003E2F2B" w:rsidP="003E2F2B">
      <w:pPr>
        <w:spacing w:line="200" w:lineRule="exact"/>
        <w:rPr>
          <w:sz w:val="24"/>
          <w:szCs w:val="24"/>
        </w:rPr>
      </w:pPr>
    </w:p>
    <w:p w:rsidR="003E2F2B" w:rsidRDefault="003E2F2B" w:rsidP="003E2F2B">
      <w:pPr>
        <w:spacing w:line="276" w:lineRule="exact"/>
        <w:rPr>
          <w:sz w:val="24"/>
          <w:szCs w:val="24"/>
        </w:rPr>
      </w:pPr>
    </w:p>
    <w:p w:rsidR="00587500" w:rsidRDefault="00587500" w:rsidP="00587500">
      <w:pPr>
        <w:ind w:left="284"/>
        <w:rPr>
          <w:rFonts w:ascii="Calibri" w:hAnsi="Calibri" w:cs="Calibri"/>
          <w:b/>
          <w:bCs/>
          <w:color w:val="003F9A"/>
          <w:sz w:val="26"/>
          <w:szCs w:val="26"/>
        </w:rPr>
      </w:pPr>
    </w:p>
    <w:p w:rsidR="006A6C5A" w:rsidRDefault="006A6C5A" w:rsidP="00A9277E">
      <w:pPr>
        <w:ind w:firstLine="284"/>
        <w:jc w:val="both"/>
        <w:rPr>
          <w:rFonts w:asciiTheme="minorHAnsi" w:eastAsia="Gabriola" w:hAnsiTheme="minorHAnsi" w:cstheme="minorHAnsi"/>
          <w:b/>
          <w:bCs/>
        </w:rPr>
      </w:pPr>
    </w:p>
    <w:p w:rsidR="00A9277E" w:rsidRPr="00E4040C" w:rsidRDefault="00A9277E" w:rsidP="00E4040C">
      <w:pPr>
        <w:spacing w:line="276" w:lineRule="auto"/>
        <w:ind w:firstLine="284"/>
        <w:jc w:val="both"/>
        <w:rPr>
          <w:rFonts w:ascii="Century Gothic" w:eastAsia="Gabriola" w:hAnsi="Century Gothic" w:cstheme="minorHAnsi"/>
          <w:bCs/>
          <w:sz w:val="20"/>
          <w:szCs w:val="20"/>
        </w:rPr>
      </w:pPr>
      <w:r w:rsidRPr="00E4040C">
        <w:rPr>
          <w:rFonts w:ascii="Century Gothic" w:eastAsia="Gabriola" w:hAnsi="Century Gothic" w:cstheme="minorHAnsi"/>
          <w:b/>
          <w:bCs/>
          <w:sz w:val="20"/>
          <w:szCs w:val="20"/>
        </w:rPr>
        <w:t xml:space="preserve">Накопительная пенсия - </w:t>
      </w:r>
      <w:r w:rsidRPr="00E4040C">
        <w:rPr>
          <w:rFonts w:ascii="Century Gothic" w:eastAsia="Gabriola" w:hAnsi="Century Gothic" w:cstheme="minorHAnsi"/>
          <w:bCs/>
          <w:sz w:val="20"/>
          <w:szCs w:val="20"/>
        </w:rPr>
        <w:t>это ежемесячная пожизненная выплата пенсионных накоплений, сформированных за счет страховых взносов работодателей и дохода от их инвестирования.</w:t>
      </w:r>
    </w:p>
    <w:p w:rsidR="00A9277E" w:rsidRPr="00A9277E" w:rsidRDefault="000712A7" w:rsidP="00E4040C">
      <w:pPr>
        <w:spacing w:line="276" w:lineRule="auto"/>
        <w:ind w:firstLine="284"/>
        <w:jc w:val="both"/>
        <w:rPr>
          <w:rFonts w:asciiTheme="minorHAnsi" w:hAnsiTheme="minorHAnsi" w:cs="Calibri"/>
          <w:b/>
          <w:bCs/>
          <w:color w:val="003F9A"/>
          <w:sz w:val="26"/>
          <w:szCs w:val="26"/>
        </w:rPr>
      </w:pPr>
      <w:r w:rsidRPr="000712A7">
        <w:rPr>
          <w:rFonts w:ascii="Calibri" w:hAnsi="Calibri" w:cs="Calibri"/>
          <w:b/>
          <w:bCs/>
          <w:noProof/>
          <w:color w:val="003F9A"/>
          <w:sz w:val="24"/>
          <w:szCs w:val="24"/>
        </w:rPr>
        <w:pict>
          <v:roundrect id="_x0000_s1032" style="position:absolute;left:0;text-align:left;margin-left:-1.75pt;margin-top:2.25pt;width:514.2pt;height:36.55pt;z-index:251681792" arcsize="10923f" fillcolor="#548dd4 [1951]" strokecolor="white [3212]">
            <v:fill color2="fill lighten(228)" rotate="t" method="linear sigma" focus="100%" type="gradient"/>
            <v:textbox style="mso-next-textbox:#_x0000_s1032">
              <w:txbxContent>
                <w:p w:rsidR="001D201D" w:rsidRPr="00E4040C" w:rsidRDefault="006A6C5A" w:rsidP="001D201D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E4040C">
                    <w:rPr>
                      <w:rFonts w:ascii="Century Gothic" w:hAnsi="Century Gothic"/>
                      <w:b/>
                      <w:color w:val="FFFFFF" w:themeColor="background1"/>
                      <w:sz w:val="20"/>
                      <w:szCs w:val="20"/>
                    </w:rPr>
                    <w:t xml:space="preserve">Поступления новых взносов работодателей  на накопительную пенсию в системе ОПС было приостановлено по решению государства на период 2014-2021 годов </w:t>
                  </w:r>
                  <w:r w:rsidR="001D201D" w:rsidRPr="00E4040C">
                    <w:rPr>
                      <w:rFonts w:ascii="Century Gothic" w:hAnsi="Century Gothic"/>
                      <w:sz w:val="20"/>
                      <w:szCs w:val="20"/>
                    </w:rPr>
                    <w:tab/>
                  </w:r>
                </w:p>
              </w:txbxContent>
            </v:textbox>
          </v:roundrect>
        </w:pict>
      </w:r>
    </w:p>
    <w:p w:rsidR="00A9277E" w:rsidRDefault="00A9277E" w:rsidP="00587500">
      <w:pPr>
        <w:rPr>
          <w:rFonts w:ascii="Calibri" w:hAnsi="Calibri" w:cs="Calibri"/>
          <w:b/>
          <w:bCs/>
          <w:color w:val="003F9A"/>
          <w:sz w:val="26"/>
          <w:szCs w:val="26"/>
        </w:rPr>
      </w:pPr>
    </w:p>
    <w:p w:rsidR="006A6C5A" w:rsidRDefault="006A6C5A" w:rsidP="00587500">
      <w:pPr>
        <w:rPr>
          <w:rFonts w:ascii="Calibri" w:hAnsi="Calibri" w:cs="Calibri"/>
          <w:b/>
          <w:bCs/>
          <w:color w:val="003F9A"/>
          <w:sz w:val="26"/>
          <w:szCs w:val="26"/>
        </w:rPr>
      </w:pPr>
    </w:p>
    <w:p w:rsidR="003E2F2B" w:rsidRPr="00665259" w:rsidRDefault="003478AC" w:rsidP="003E2F2B">
      <w:pPr>
        <w:spacing w:line="191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6479540" cy="18099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0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8AC" w:rsidRDefault="003478AC" w:rsidP="0028453B">
      <w:pPr>
        <w:tabs>
          <w:tab w:val="left" w:pos="142"/>
        </w:tabs>
        <w:jc w:val="both"/>
        <w:rPr>
          <w:rFonts w:ascii="Calibri" w:hAnsi="Calibri" w:cs="Calibri"/>
          <w:noProof/>
          <w:sz w:val="2"/>
          <w:szCs w:val="2"/>
        </w:rPr>
      </w:pPr>
    </w:p>
    <w:p w:rsidR="003478AC" w:rsidRDefault="003478AC" w:rsidP="0028453B">
      <w:pPr>
        <w:tabs>
          <w:tab w:val="left" w:pos="142"/>
        </w:tabs>
        <w:jc w:val="both"/>
        <w:rPr>
          <w:rFonts w:ascii="Calibri" w:hAnsi="Calibri" w:cs="Calibri"/>
          <w:noProof/>
          <w:sz w:val="2"/>
          <w:szCs w:val="2"/>
        </w:rPr>
      </w:pPr>
    </w:p>
    <w:p w:rsidR="003478AC" w:rsidRDefault="003478AC" w:rsidP="0028453B">
      <w:pPr>
        <w:tabs>
          <w:tab w:val="left" w:pos="142"/>
        </w:tabs>
        <w:jc w:val="both"/>
        <w:rPr>
          <w:rFonts w:ascii="Calibri" w:hAnsi="Calibri" w:cs="Calibri"/>
          <w:noProof/>
          <w:sz w:val="2"/>
          <w:szCs w:val="2"/>
        </w:rPr>
      </w:pPr>
    </w:p>
    <w:p w:rsidR="003478AC" w:rsidRDefault="003478AC" w:rsidP="0028453B">
      <w:pPr>
        <w:tabs>
          <w:tab w:val="left" w:pos="142"/>
        </w:tabs>
        <w:jc w:val="both"/>
        <w:rPr>
          <w:rFonts w:ascii="Calibri" w:hAnsi="Calibri" w:cs="Calibri"/>
          <w:noProof/>
          <w:sz w:val="2"/>
          <w:szCs w:val="2"/>
        </w:rPr>
      </w:pPr>
    </w:p>
    <w:p w:rsidR="003478AC" w:rsidRDefault="003478AC" w:rsidP="0028453B">
      <w:pPr>
        <w:tabs>
          <w:tab w:val="left" w:pos="142"/>
        </w:tabs>
        <w:jc w:val="both"/>
        <w:rPr>
          <w:rFonts w:ascii="Calibri" w:hAnsi="Calibri" w:cs="Calibri"/>
          <w:noProof/>
          <w:sz w:val="2"/>
          <w:szCs w:val="2"/>
        </w:rPr>
      </w:pPr>
    </w:p>
    <w:p w:rsidR="003478AC" w:rsidRDefault="003478AC" w:rsidP="0028453B">
      <w:pPr>
        <w:tabs>
          <w:tab w:val="left" w:pos="142"/>
        </w:tabs>
        <w:jc w:val="both"/>
        <w:rPr>
          <w:rFonts w:ascii="Calibri" w:hAnsi="Calibri" w:cs="Calibri"/>
          <w:noProof/>
          <w:sz w:val="2"/>
          <w:szCs w:val="2"/>
        </w:rPr>
      </w:pPr>
    </w:p>
    <w:p w:rsidR="003478AC" w:rsidRPr="00E4040C" w:rsidRDefault="004C3CFA" w:rsidP="0028453B">
      <w:pPr>
        <w:tabs>
          <w:tab w:val="left" w:pos="142"/>
        </w:tabs>
        <w:jc w:val="both"/>
        <w:rPr>
          <w:rFonts w:ascii="Century Gothic" w:hAnsi="Century Gothic" w:cs="Calibri"/>
          <w:b/>
          <w:bCs/>
          <w:color w:val="003F9A"/>
          <w:sz w:val="24"/>
          <w:szCs w:val="24"/>
        </w:rPr>
      </w:pPr>
      <w:r w:rsidRPr="00E4040C">
        <w:rPr>
          <w:rFonts w:ascii="Century Gothic" w:hAnsi="Century Gothic" w:cs="Calibri"/>
          <w:b/>
          <w:bCs/>
          <w:color w:val="003F9A"/>
          <w:sz w:val="24"/>
          <w:szCs w:val="24"/>
        </w:rPr>
        <w:t>ВИДЫ ВЫПЛАТ СРЕДСТВ ПЕНСИОННЫХ НАКОПЛЕНИЙ</w:t>
      </w:r>
    </w:p>
    <w:p w:rsidR="004C3CFA" w:rsidRPr="00E4040C" w:rsidRDefault="004C3CFA" w:rsidP="00E4040C">
      <w:pPr>
        <w:tabs>
          <w:tab w:val="left" w:pos="142"/>
        </w:tabs>
        <w:spacing w:line="276" w:lineRule="auto"/>
        <w:ind w:firstLine="284"/>
        <w:jc w:val="both"/>
        <w:rPr>
          <w:rFonts w:ascii="Century Gothic" w:hAnsi="Century Gothic" w:cs="Calibri"/>
          <w:noProof/>
          <w:sz w:val="20"/>
          <w:szCs w:val="20"/>
        </w:rPr>
      </w:pPr>
      <w:r w:rsidRPr="00E4040C">
        <w:rPr>
          <w:rFonts w:ascii="Century Gothic" w:hAnsi="Century Gothic" w:cs="Calibri"/>
          <w:b/>
          <w:noProof/>
          <w:sz w:val="20"/>
          <w:szCs w:val="20"/>
        </w:rPr>
        <w:t xml:space="preserve">Единовременная выплата </w:t>
      </w:r>
      <w:r w:rsidRPr="00E4040C">
        <w:rPr>
          <w:rFonts w:ascii="Century Gothic" w:hAnsi="Century Gothic" w:cs="Calibri"/>
          <w:noProof/>
          <w:sz w:val="20"/>
          <w:szCs w:val="20"/>
        </w:rPr>
        <w:t>– выплачиваются</w:t>
      </w:r>
      <w:r w:rsidR="00651191" w:rsidRPr="00E4040C">
        <w:rPr>
          <w:rFonts w:ascii="Century Gothic" w:hAnsi="Century Gothic" w:cs="Calibri"/>
          <w:noProof/>
          <w:sz w:val="20"/>
          <w:szCs w:val="20"/>
        </w:rPr>
        <w:t xml:space="preserve"> сразу все пенсионные накопления одной суммой.</w:t>
      </w:r>
      <w:r w:rsidRPr="00E4040C">
        <w:rPr>
          <w:rFonts w:ascii="Century Gothic" w:hAnsi="Century Gothic" w:cs="Calibri"/>
          <w:b/>
          <w:noProof/>
          <w:sz w:val="20"/>
          <w:szCs w:val="20"/>
        </w:rPr>
        <w:t xml:space="preserve"> </w:t>
      </w:r>
      <w:r w:rsidR="00651191" w:rsidRPr="00E4040C">
        <w:rPr>
          <w:rFonts w:ascii="Century Gothic" w:hAnsi="Century Gothic" w:cs="Calibri"/>
          <w:noProof/>
          <w:sz w:val="20"/>
          <w:szCs w:val="20"/>
        </w:rPr>
        <w:t>Получатели:</w:t>
      </w:r>
    </w:p>
    <w:p w:rsidR="003E2F2B" w:rsidRPr="00E4040C" w:rsidRDefault="000712A7" w:rsidP="00E4040C">
      <w:pPr>
        <w:tabs>
          <w:tab w:val="left" w:pos="142"/>
        </w:tabs>
        <w:spacing w:line="276" w:lineRule="auto"/>
        <w:jc w:val="both"/>
        <w:rPr>
          <w:rFonts w:ascii="Century Gothic" w:eastAsia="Gabriola" w:hAnsi="Century Gothic" w:cstheme="minorHAnsi"/>
          <w:bCs/>
          <w:color w:val="000000" w:themeColor="text1"/>
          <w:sz w:val="20"/>
          <w:szCs w:val="20"/>
        </w:rPr>
      </w:pPr>
      <w:r w:rsidRPr="00E4040C">
        <w:rPr>
          <w:rFonts w:ascii="Century Gothic" w:hAnsi="Century Gothic" w:cs="Calibri"/>
          <w:noProof/>
          <w:sz w:val="20"/>
          <w:szCs w:val="20"/>
        </w:rPr>
        <w:pict>
          <v:shape id="_x0000_i1025" type="#_x0000_t75" style="width:6.6pt;height:6.6pt;visibility:visible;mso-wrap-style:square" o:bullet="t">
            <v:imagedata r:id="rId8" o:title=""/>
          </v:shape>
        </w:pict>
      </w:r>
      <w:r w:rsidR="003E2F2B" w:rsidRPr="00E4040C">
        <w:rPr>
          <w:rFonts w:ascii="Century Gothic" w:hAnsi="Century Gothic" w:cs="Calibri"/>
          <w:sz w:val="20"/>
          <w:szCs w:val="20"/>
        </w:rPr>
        <w:t xml:space="preserve"> </w:t>
      </w:r>
      <w:r w:rsidR="00A849CD" w:rsidRPr="00E4040C">
        <w:rPr>
          <w:rFonts w:ascii="Century Gothic" w:hAnsi="Century Gothic" w:cs="Arial"/>
          <w:color w:val="000000" w:themeColor="text1"/>
          <w:sz w:val="20"/>
          <w:szCs w:val="20"/>
        </w:rPr>
        <w:t>граждане, которые не приобрели право на получение накопительной пенсии в соответствии со статьей 6 Закона № 424-ФЗ (из-за отсутствия необходимого страхового стажа или необходимого количества пенсионных баллов (с учетом переходных положений) - по достижении возраста 60 и 55 лет (соответственно мужчины и женщины);</w:t>
      </w:r>
    </w:p>
    <w:p w:rsidR="009E2D55" w:rsidRPr="00E4040C" w:rsidRDefault="00D650B1" w:rsidP="00E4040C">
      <w:pPr>
        <w:spacing w:line="276" w:lineRule="auto"/>
        <w:jc w:val="both"/>
        <w:rPr>
          <w:rFonts w:ascii="Century Gothic" w:hAnsi="Century Gothic" w:cs="Arial"/>
          <w:color w:val="333333"/>
          <w:sz w:val="20"/>
          <w:szCs w:val="20"/>
        </w:rPr>
      </w:pPr>
      <w:r w:rsidRPr="00E4040C">
        <w:rPr>
          <w:rFonts w:ascii="Century Gothic" w:hAnsi="Century Gothic" w:cstheme="minorHAnsi"/>
          <w:sz w:val="20"/>
          <w:szCs w:val="20"/>
        </w:rPr>
        <w:tab/>
      </w:r>
      <w:r w:rsidR="000712A7" w:rsidRPr="00E4040C">
        <w:rPr>
          <w:rFonts w:ascii="Century Gothic" w:hAnsi="Century Gothic" w:cs="Calibri"/>
          <w:noProof/>
          <w:sz w:val="20"/>
          <w:szCs w:val="20"/>
        </w:rPr>
        <w:pict>
          <v:shape id="Рисунок 22" o:spid="_x0000_i1026" type="#_x0000_t75" style="width:6.6pt;height:6.6pt;visibility:visible;mso-wrap-style:square" o:bullet="t">
            <v:imagedata r:id="rId8" o:title=""/>
          </v:shape>
        </w:pict>
      </w:r>
      <w:r w:rsidR="003E2F2B" w:rsidRPr="00E4040C">
        <w:rPr>
          <w:rFonts w:ascii="Century Gothic" w:eastAsia="Gabriola" w:hAnsi="Century Gothic" w:cstheme="minorHAnsi"/>
          <w:sz w:val="20"/>
          <w:szCs w:val="20"/>
        </w:rPr>
        <w:t xml:space="preserve"> </w:t>
      </w:r>
      <w:r w:rsidR="00A849CD" w:rsidRPr="00E4040C">
        <w:rPr>
          <w:rFonts w:ascii="Century Gothic" w:eastAsia="Gabriola" w:hAnsi="Century Gothic" w:cstheme="minorHAnsi"/>
          <w:sz w:val="20"/>
          <w:szCs w:val="20"/>
        </w:rPr>
        <w:t>граждане,</w:t>
      </w:r>
      <w:r w:rsidR="00A849CD" w:rsidRPr="00E4040C">
        <w:rPr>
          <w:rFonts w:ascii="Century Gothic" w:hAnsi="Century Gothic" w:cs="Arial"/>
          <w:color w:val="333333"/>
          <w:sz w:val="20"/>
          <w:szCs w:val="20"/>
        </w:rPr>
        <w:t xml:space="preserve"> </w:t>
      </w:r>
      <w:r w:rsidR="000C42F9" w:rsidRPr="00E4040C">
        <w:rPr>
          <w:rFonts w:ascii="Century Gothic" w:hAnsi="Century Gothic" w:cs="Arial"/>
          <w:color w:val="333333"/>
          <w:sz w:val="20"/>
          <w:szCs w:val="20"/>
        </w:rPr>
        <w:t>у которых размер накопительной пенсии составляет 5 % и менее по отношению к сумме размера страховой пенсии по старости, в том числе с учетом фиксированной выплаты и повышений к ней, и размера накопительной пенсии, рассчитанных  на дату назначения накопительной пенсии в соответствии с Законом № 424-ФЗ, - по достижении возраста 60 и 55 лет (соответственно мужчины и женщины), а лицам, указанным в части 2 статьи 6 Закона № 424-ФЗ, - по достижении возраста или наступлении срока, определяемых в соответствии с Законом № 400-ФЗ по состоянию на 31 декабря 2018 года, и при соблюдении условий, дающих право на досрочное назначение страховой пенсии по старости (наличие необходимого страхового стажа и (или) стажа на соответствующих видах работ и установленной величины ИПК).</w:t>
      </w:r>
    </w:p>
    <w:p w:rsidR="002B4A43" w:rsidRPr="00E4040C" w:rsidRDefault="000C42F9" w:rsidP="00E4040C">
      <w:pPr>
        <w:tabs>
          <w:tab w:val="left" w:pos="284"/>
        </w:tabs>
        <w:spacing w:line="276" w:lineRule="auto"/>
        <w:ind w:firstLine="284"/>
        <w:jc w:val="both"/>
        <w:rPr>
          <w:rFonts w:ascii="Century Gothic" w:hAnsi="Century Gothic" w:cs="Arial"/>
          <w:color w:val="333333"/>
          <w:sz w:val="20"/>
          <w:szCs w:val="20"/>
        </w:rPr>
      </w:pPr>
      <w:r w:rsidRPr="00E4040C">
        <w:rPr>
          <w:rFonts w:ascii="Century Gothic" w:eastAsia="Gabriola" w:hAnsi="Century Gothic" w:cstheme="minorHAnsi"/>
          <w:b/>
          <w:sz w:val="20"/>
          <w:szCs w:val="20"/>
        </w:rPr>
        <w:t xml:space="preserve">Срочная </w:t>
      </w:r>
      <w:r w:rsidR="00D260DE" w:rsidRPr="00E4040C">
        <w:rPr>
          <w:rFonts w:ascii="Century Gothic" w:eastAsia="Gabriola" w:hAnsi="Century Gothic" w:cstheme="minorHAnsi"/>
          <w:b/>
          <w:sz w:val="20"/>
          <w:szCs w:val="20"/>
        </w:rPr>
        <w:t>пенсионная выплата</w:t>
      </w:r>
      <w:r w:rsidR="002B4A43" w:rsidRPr="00E4040C">
        <w:rPr>
          <w:rFonts w:ascii="Century Gothic" w:eastAsia="Gabriola" w:hAnsi="Century Gothic" w:cstheme="minorHAnsi"/>
          <w:b/>
          <w:sz w:val="20"/>
          <w:szCs w:val="20"/>
        </w:rPr>
        <w:t>.</w:t>
      </w:r>
      <w:r w:rsidR="002B4A43" w:rsidRPr="00E4040C">
        <w:rPr>
          <w:rFonts w:ascii="Century Gothic" w:eastAsia="Gabriola" w:hAnsi="Century Gothic" w:cstheme="minorHAnsi"/>
          <w:sz w:val="20"/>
          <w:szCs w:val="20"/>
        </w:rPr>
        <w:t xml:space="preserve"> </w:t>
      </w:r>
      <w:r w:rsidR="00D260DE" w:rsidRPr="00E4040C">
        <w:rPr>
          <w:rFonts w:ascii="Century Gothic" w:eastAsia="Gabriola" w:hAnsi="Century Gothic" w:cstheme="minorHAnsi"/>
          <w:sz w:val="20"/>
          <w:szCs w:val="20"/>
        </w:rPr>
        <w:t xml:space="preserve">Её продолжительность определяет сам гражданин, </w:t>
      </w:r>
      <w:r w:rsidR="00D260DE" w:rsidRPr="00E4040C">
        <w:rPr>
          <w:rFonts w:ascii="Century Gothic" w:hAnsi="Century Gothic" w:cs="Arial"/>
          <w:color w:val="333333"/>
          <w:sz w:val="20"/>
          <w:szCs w:val="20"/>
        </w:rPr>
        <w:t>но она не может быть меньше 10 лет. Назначается и выплачивается по достижении возраста 60  и 55 лет (мужчины и женщины соответственно) при наличии необходимых для назначения страховой пенсии по старости страхового стажа и величины ИПК, установленных Законом № 400-ФЗ.</w:t>
      </w:r>
      <w:r w:rsidR="002B4A43" w:rsidRPr="00E4040C">
        <w:rPr>
          <w:rFonts w:ascii="Century Gothic" w:hAnsi="Century Gothic"/>
          <w:sz w:val="20"/>
          <w:szCs w:val="20"/>
        </w:rPr>
        <w:t xml:space="preserve"> </w:t>
      </w:r>
      <w:r w:rsidR="00D260DE" w:rsidRPr="00E4040C">
        <w:rPr>
          <w:rFonts w:ascii="Century Gothic" w:hAnsi="Century Gothic"/>
          <w:sz w:val="20"/>
          <w:szCs w:val="20"/>
        </w:rPr>
        <w:t>Н</w:t>
      </w:r>
      <w:r w:rsidR="00D260DE" w:rsidRPr="00E4040C">
        <w:rPr>
          <w:rFonts w:ascii="Century Gothic" w:hAnsi="Century Gothic" w:cs="Arial"/>
          <w:color w:val="333333"/>
          <w:sz w:val="20"/>
          <w:szCs w:val="20"/>
        </w:rPr>
        <w:t>азначается  лицам, сформировавшим пенсионные накопления за счет взносов в рамках Программы государственного софинансирования пенсий, в т.ч. взносов работодателя, взносов государства на софинансирование и дохода от их инвестирования, а также за счет средств материнского (семейного) капитала, направленных на формирование будущей пенсии, и дохода от их инвестирования.</w:t>
      </w:r>
    </w:p>
    <w:p w:rsidR="004F2AB9" w:rsidRDefault="00D260DE" w:rsidP="00E4040C">
      <w:pPr>
        <w:tabs>
          <w:tab w:val="left" w:pos="284"/>
        </w:tabs>
        <w:spacing w:line="276" w:lineRule="auto"/>
        <w:ind w:firstLine="284"/>
        <w:jc w:val="both"/>
        <w:rPr>
          <w:rFonts w:asciiTheme="minorHAnsi" w:eastAsia="Gabriola" w:hAnsiTheme="minorHAnsi" w:cstheme="minorHAnsi"/>
          <w:sz w:val="25"/>
          <w:szCs w:val="25"/>
        </w:rPr>
      </w:pPr>
      <w:r w:rsidRPr="00E4040C">
        <w:rPr>
          <w:rFonts w:ascii="Century Gothic" w:hAnsi="Century Gothic" w:cs="Arial"/>
          <w:b/>
          <w:color w:val="333333"/>
          <w:sz w:val="20"/>
          <w:szCs w:val="20"/>
        </w:rPr>
        <w:t>Накопительная пенсия</w:t>
      </w:r>
      <w:r w:rsidRPr="00E4040C">
        <w:rPr>
          <w:rFonts w:ascii="Century Gothic" w:hAnsi="Century Gothic" w:cs="Arial"/>
          <w:color w:val="333333"/>
          <w:sz w:val="20"/>
          <w:szCs w:val="20"/>
        </w:rPr>
        <w:t xml:space="preserve"> –  осуществляется ежемесячно и пожизненно. Ее размер с 2020 года рассчитывается исходя из ожидаемого периода выплаты – 258 месяцев. Чтобы рассчитать ежемесячный размер выплаты, надо общую сумму пенсионных накоплений, учтенную в специальной части индивидуального лицевого счета застрахованного лица, по состоянию на день, с которого назначается выплата, разделить на 258 месяцев.</w:t>
      </w:r>
    </w:p>
    <w:p w:rsidR="000438A5" w:rsidRDefault="000438A5" w:rsidP="001D201D">
      <w:pPr>
        <w:tabs>
          <w:tab w:val="left" w:pos="284"/>
        </w:tabs>
        <w:spacing w:before="120"/>
        <w:jc w:val="both"/>
        <w:rPr>
          <w:rFonts w:asciiTheme="minorHAnsi" w:eastAsia="Gabriola" w:hAnsiTheme="minorHAnsi" w:cstheme="minorHAnsi"/>
          <w:sz w:val="25"/>
          <w:szCs w:val="25"/>
        </w:rPr>
      </w:pPr>
    </w:p>
    <w:p w:rsidR="00FB3D5E" w:rsidRDefault="00596016" w:rsidP="000438A5">
      <w:pPr>
        <w:ind w:left="220" w:right="20" w:hanging="23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Gabriola" w:hAnsiTheme="minorHAnsi" w:cstheme="minorHAnsi"/>
          <w:noProof/>
          <w:sz w:val="25"/>
          <w:szCs w:val="25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-416560</wp:posOffset>
            </wp:positionH>
            <wp:positionV relativeFrom="paragraph">
              <wp:posOffset>171450</wp:posOffset>
            </wp:positionV>
            <wp:extent cx="7341870" cy="358140"/>
            <wp:effectExtent l="19050" t="0" r="0" b="0"/>
            <wp:wrapNone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87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B3D5E" w:rsidSect="00341808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6.8pt;height:16.8pt;visibility:visible;mso-wrap-style:square" o:bullet="t">
        <v:imagedata r:id="rId1" o:title=""/>
      </v:shape>
    </w:pict>
  </w:numPicBullet>
  <w:abstractNum w:abstractNumId="0">
    <w:nsid w:val="00001547"/>
    <w:multiLevelType w:val="hybridMultilevel"/>
    <w:tmpl w:val="368ACA9C"/>
    <w:lvl w:ilvl="0" w:tplc="3B8CC0C2">
      <w:start w:val="1"/>
      <w:numFmt w:val="bullet"/>
      <w:lvlText w:val="В"/>
      <w:lvlJc w:val="left"/>
    </w:lvl>
    <w:lvl w:ilvl="1" w:tplc="83C2183C">
      <w:numFmt w:val="decimal"/>
      <w:lvlText w:val=""/>
      <w:lvlJc w:val="left"/>
    </w:lvl>
    <w:lvl w:ilvl="2" w:tplc="047680A6">
      <w:numFmt w:val="decimal"/>
      <w:lvlText w:val=""/>
      <w:lvlJc w:val="left"/>
    </w:lvl>
    <w:lvl w:ilvl="3" w:tplc="CB68E81C">
      <w:numFmt w:val="decimal"/>
      <w:lvlText w:val=""/>
      <w:lvlJc w:val="left"/>
    </w:lvl>
    <w:lvl w:ilvl="4" w:tplc="32F09A22">
      <w:numFmt w:val="decimal"/>
      <w:lvlText w:val=""/>
      <w:lvlJc w:val="left"/>
    </w:lvl>
    <w:lvl w:ilvl="5" w:tplc="8A545508">
      <w:numFmt w:val="decimal"/>
      <w:lvlText w:val=""/>
      <w:lvlJc w:val="left"/>
    </w:lvl>
    <w:lvl w:ilvl="6" w:tplc="90C2CE2C">
      <w:numFmt w:val="decimal"/>
      <w:lvlText w:val=""/>
      <w:lvlJc w:val="left"/>
    </w:lvl>
    <w:lvl w:ilvl="7" w:tplc="FDBA8656">
      <w:numFmt w:val="decimal"/>
      <w:lvlText w:val=""/>
      <w:lvlJc w:val="left"/>
    </w:lvl>
    <w:lvl w:ilvl="8" w:tplc="F692064A">
      <w:numFmt w:val="decimal"/>
      <w:lvlText w:val=""/>
      <w:lvlJc w:val="left"/>
    </w:lvl>
  </w:abstractNum>
  <w:abstractNum w:abstractNumId="1">
    <w:nsid w:val="0FAD02CE"/>
    <w:multiLevelType w:val="hybridMultilevel"/>
    <w:tmpl w:val="6FCE96D2"/>
    <w:lvl w:ilvl="0" w:tplc="93C68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34D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04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6B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C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0C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A9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8B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6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3FB420E"/>
    <w:multiLevelType w:val="hybridMultilevel"/>
    <w:tmpl w:val="C6AC29A6"/>
    <w:lvl w:ilvl="0" w:tplc="50DEA4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A5F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C4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A5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9CC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84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4D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8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48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3466039"/>
    <w:multiLevelType w:val="hybridMultilevel"/>
    <w:tmpl w:val="854E84B4"/>
    <w:lvl w:ilvl="0" w:tplc="59DCC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000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0FF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AC2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AA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06F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8C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A4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0B708B5"/>
    <w:multiLevelType w:val="hybridMultilevel"/>
    <w:tmpl w:val="8EDAE1D4"/>
    <w:lvl w:ilvl="0" w:tplc="3F282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74E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614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FAC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BC1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A0A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AB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AD4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A62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B16AA6"/>
    <w:multiLevelType w:val="hybridMultilevel"/>
    <w:tmpl w:val="51268684"/>
    <w:lvl w:ilvl="0" w:tplc="F5AA4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EA2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E61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A5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58F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4ED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D21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68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C7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88245A3"/>
    <w:multiLevelType w:val="hybridMultilevel"/>
    <w:tmpl w:val="73E81E54"/>
    <w:lvl w:ilvl="0" w:tplc="D0C6D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29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29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5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DC47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21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0B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C4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4E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10371B4"/>
    <w:multiLevelType w:val="hybridMultilevel"/>
    <w:tmpl w:val="CA9A21BA"/>
    <w:lvl w:ilvl="0" w:tplc="40BE0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CF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C1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86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8B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2E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C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C7D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CA6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46E1755"/>
    <w:multiLevelType w:val="hybridMultilevel"/>
    <w:tmpl w:val="BCF6D358"/>
    <w:lvl w:ilvl="0" w:tplc="80DCE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2660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387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1CB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A5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6C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DAE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02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67E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A153954"/>
    <w:multiLevelType w:val="hybridMultilevel"/>
    <w:tmpl w:val="0CF213CA"/>
    <w:lvl w:ilvl="0" w:tplc="9F5ABC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4C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647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68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AC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D06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88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A7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62E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217AB2"/>
    <w:rsid w:val="00012517"/>
    <w:rsid w:val="00022E22"/>
    <w:rsid w:val="000438A5"/>
    <w:rsid w:val="000712A7"/>
    <w:rsid w:val="00077F5A"/>
    <w:rsid w:val="00081872"/>
    <w:rsid w:val="000A6D10"/>
    <w:rsid w:val="000C42F9"/>
    <w:rsid w:val="000F0DC4"/>
    <w:rsid w:val="00120D2D"/>
    <w:rsid w:val="00126964"/>
    <w:rsid w:val="001273E6"/>
    <w:rsid w:val="00134D94"/>
    <w:rsid w:val="001363CA"/>
    <w:rsid w:val="00166E2F"/>
    <w:rsid w:val="001741E7"/>
    <w:rsid w:val="001860D3"/>
    <w:rsid w:val="001B3541"/>
    <w:rsid w:val="001D05AD"/>
    <w:rsid w:val="001D0F4F"/>
    <w:rsid w:val="001D201D"/>
    <w:rsid w:val="001E0DD2"/>
    <w:rsid w:val="001F29BF"/>
    <w:rsid w:val="00217AB2"/>
    <w:rsid w:val="00220489"/>
    <w:rsid w:val="0028453B"/>
    <w:rsid w:val="00284D77"/>
    <w:rsid w:val="002B090D"/>
    <w:rsid w:val="002B28BA"/>
    <w:rsid w:val="002B4A43"/>
    <w:rsid w:val="00307287"/>
    <w:rsid w:val="00314A9E"/>
    <w:rsid w:val="00320BEE"/>
    <w:rsid w:val="00341808"/>
    <w:rsid w:val="003478AC"/>
    <w:rsid w:val="003505E2"/>
    <w:rsid w:val="00352116"/>
    <w:rsid w:val="00361FB1"/>
    <w:rsid w:val="003702D2"/>
    <w:rsid w:val="003A0360"/>
    <w:rsid w:val="003A4CD2"/>
    <w:rsid w:val="003E2F2B"/>
    <w:rsid w:val="00402F47"/>
    <w:rsid w:val="00403CCA"/>
    <w:rsid w:val="00416953"/>
    <w:rsid w:val="00425825"/>
    <w:rsid w:val="00450505"/>
    <w:rsid w:val="0048565C"/>
    <w:rsid w:val="004C3CFA"/>
    <w:rsid w:val="004F2AB9"/>
    <w:rsid w:val="004F4E90"/>
    <w:rsid w:val="00522195"/>
    <w:rsid w:val="005405E5"/>
    <w:rsid w:val="00553487"/>
    <w:rsid w:val="00557D3D"/>
    <w:rsid w:val="00567500"/>
    <w:rsid w:val="00587500"/>
    <w:rsid w:val="005959F8"/>
    <w:rsid w:val="00596016"/>
    <w:rsid w:val="005A743C"/>
    <w:rsid w:val="005C2CB7"/>
    <w:rsid w:val="00651191"/>
    <w:rsid w:val="006651E8"/>
    <w:rsid w:val="00665259"/>
    <w:rsid w:val="00676805"/>
    <w:rsid w:val="00677732"/>
    <w:rsid w:val="006857C4"/>
    <w:rsid w:val="006A6C5A"/>
    <w:rsid w:val="006B3311"/>
    <w:rsid w:val="006D412D"/>
    <w:rsid w:val="00737EF4"/>
    <w:rsid w:val="0074419D"/>
    <w:rsid w:val="00751CDB"/>
    <w:rsid w:val="007548EA"/>
    <w:rsid w:val="00773423"/>
    <w:rsid w:val="007774A1"/>
    <w:rsid w:val="007904F5"/>
    <w:rsid w:val="0079674F"/>
    <w:rsid w:val="007A24CD"/>
    <w:rsid w:val="007D28AC"/>
    <w:rsid w:val="007E063B"/>
    <w:rsid w:val="00835458"/>
    <w:rsid w:val="008365A1"/>
    <w:rsid w:val="008570AF"/>
    <w:rsid w:val="00886D46"/>
    <w:rsid w:val="008B7BAD"/>
    <w:rsid w:val="008C2018"/>
    <w:rsid w:val="008D33F9"/>
    <w:rsid w:val="008E4889"/>
    <w:rsid w:val="008F0A61"/>
    <w:rsid w:val="008F6E84"/>
    <w:rsid w:val="00910A46"/>
    <w:rsid w:val="00991B10"/>
    <w:rsid w:val="009928AC"/>
    <w:rsid w:val="009D66F8"/>
    <w:rsid w:val="009E2D55"/>
    <w:rsid w:val="009F5B6D"/>
    <w:rsid w:val="00A06BEB"/>
    <w:rsid w:val="00A30A4C"/>
    <w:rsid w:val="00A34A6B"/>
    <w:rsid w:val="00A3612E"/>
    <w:rsid w:val="00A615BB"/>
    <w:rsid w:val="00A64AFF"/>
    <w:rsid w:val="00A849CD"/>
    <w:rsid w:val="00A85B14"/>
    <w:rsid w:val="00A9277E"/>
    <w:rsid w:val="00AB3B60"/>
    <w:rsid w:val="00B01B63"/>
    <w:rsid w:val="00B06E54"/>
    <w:rsid w:val="00B13F03"/>
    <w:rsid w:val="00B32BEE"/>
    <w:rsid w:val="00B46CA4"/>
    <w:rsid w:val="00B81688"/>
    <w:rsid w:val="00B91FD4"/>
    <w:rsid w:val="00B9525D"/>
    <w:rsid w:val="00C60B4B"/>
    <w:rsid w:val="00C753AB"/>
    <w:rsid w:val="00C95109"/>
    <w:rsid w:val="00CB4A3B"/>
    <w:rsid w:val="00CC03A7"/>
    <w:rsid w:val="00CE6417"/>
    <w:rsid w:val="00D260DE"/>
    <w:rsid w:val="00D26115"/>
    <w:rsid w:val="00D313DE"/>
    <w:rsid w:val="00D650B1"/>
    <w:rsid w:val="00DC0EE1"/>
    <w:rsid w:val="00DD163D"/>
    <w:rsid w:val="00DF4E3B"/>
    <w:rsid w:val="00DF5861"/>
    <w:rsid w:val="00E01ECF"/>
    <w:rsid w:val="00E17C6B"/>
    <w:rsid w:val="00E4040C"/>
    <w:rsid w:val="00EC1040"/>
    <w:rsid w:val="00EF7D55"/>
    <w:rsid w:val="00F164C1"/>
    <w:rsid w:val="00F1773E"/>
    <w:rsid w:val="00F21400"/>
    <w:rsid w:val="00F47D81"/>
    <w:rsid w:val="00F917E2"/>
    <w:rsid w:val="00FB3D5E"/>
    <w:rsid w:val="00FC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none [3212]" stroke="f">
      <v:fill color="none [3212]" opacity="0" color2="fill lighten(223)" rotate="t" method="linear sigma" focus="100%" type="gradient"/>
      <v:stroke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A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AB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650B1"/>
    <w:rPr>
      <w:color w:val="0000FF" w:themeColor="hyperlink"/>
      <w:u w:val="single"/>
    </w:rPr>
  </w:style>
  <w:style w:type="paragraph" w:styleId="a6">
    <w:name w:val="No Spacing"/>
    <w:uiPriority w:val="1"/>
    <w:qFormat/>
    <w:rsid w:val="00557D3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9E2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15BFD-45E6-4990-AF12-DF5D4BE9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Данильчук</dc:creator>
  <cp:lastModifiedBy>044RybinaGI</cp:lastModifiedBy>
  <cp:revision>25</cp:revision>
  <cp:lastPrinted>2018-11-14T11:27:00Z</cp:lastPrinted>
  <dcterms:created xsi:type="dcterms:W3CDTF">2018-11-14T11:24:00Z</dcterms:created>
  <dcterms:modified xsi:type="dcterms:W3CDTF">2020-02-26T14:09:00Z</dcterms:modified>
</cp:coreProperties>
</file>