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B2" w:rsidRPr="0081483E" w:rsidRDefault="00217AB2" w:rsidP="0081483E">
      <w:pPr>
        <w:ind w:right="20"/>
        <w:jc w:val="center"/>
        <w:rPr>
          <w:rFonts w:ascii="Century Gothic" w:hAnsi="Century Gothic"/>
          <w:sz w:val="32"/>
          <w:szCs w:val="32"/>
        </w:rPr>
      </w:pPr>
      <w:r w:rsidRPr="0081483E">
        <w:rPr>
          <w:rFonts w:ascii="Century Gothic" w:eastAsia="Gabriola" w:hAnsi="Century Gothic" w:cstheme="minorHAnsi"/>
          <w:b/>
          <w:bCs/>
          <w:noProof/>
          <w:color w:val="FFFFFF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116723</wp:posOffset>
            </wp:positionH>
            <wp:positionV relativeFrom="page">
              <wp:posOffset>127000</wp:posOffset>
            </wp:positionV>
            <wp:extent cx="7343775" cy="38481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483E" w:rsidRPr="0081483E">
        <w:rPr>
          <w:rFonts w:ascii="Century Gothic" w:eastAsia="Gabriola" w:hAnsi="Century Gothic" w:cstheme="minorHAnsi"/>
          <w:b/>
          <w:bCs/>
          <w:color w:val="FFFFFF"/>
          <w:sz w:val="32"/>
          <w:szCs w:val="32"/>
        </w:rPr>
        <w:t>ДОСРОЧНЫЙ ПЕРЕХОД ОТ ОДНОГО СТРАХОВЩИКА К ДРУГОМУ</w:t>
      </w:r>
    </w:p>
    <w:p w:rsidR="00217AB2" w:rsidRPr="0081483E" w:rsidRDefault="00217AB2" w:rsidP="00217AB2">
      <w:pPr>
        <w:spacing w:line="200" w:lineRule="exact"/>
        <w:rPr>
          <w:rFonts w:ascii="Century Gothic" w:hAnsi="Century Gothic"/>
          <w:sz w:val="32"/>
          <w:szCs w:val="32"/>
        </w:rPr>
      </w:pPr>
    </w:p>
    <w:p w:rsidR="00217AB2" w:rsidRPr="0081483E" w:rsidRDefault="00217AB2" w:rsidP="00217AB2">
      <w:pPr>
        <w:spacing w:line="200" w:lineRule="exact"/>
        <w:rPr>
          <w:rFonts w:ascii="Century Gothic" w:hAnsi="Century Gothic"/>
          <w:sz w:val="32"/>
          <w:szCs w:val="32"/>
        </w:rPr>
      </w:pPr>
    </w:p>
    <w:p w:rsidR="00EC5D98" w:rsidRDefault="00EC5D98" w:rsidP="00217AB2">
      <w:pPr>
        <w:spacing w:line="276" w:lineRule="exact"/>
        <w:rPr>
          <w:sz w:val="24"/>
          <w:szCs w:val="24"/>
        </w:rPr>
      </w:pPr>
    </w:p>
    <w:p w:rsidR="00A83FDE" w:rsidRDefault="00A83FDE" w:rsidP="00217AB2">
      <w:pPr>
        <w:spacing w:line="276" w:lineRule="exact"/>
        <w:rPr>
          <w:sz w:val="24"/>
          <w:szCs w:val="24"/>
        </w:rPr>
      </w:pPr>
    </w:p>
    <w:tbl>
      <w:tblPr>
        <w:tblStyle w:val="a5"/>
        <w:tblW w:w="4897" w:type="pct"/>
        <w:tblInd w:w="108" w:type="dxa"/>
        <w:tblLook w:val="04A0"/>
      </w:tblPr>
      <w:tblGrid>
        <w:gridCol w:w="2330"/>
        <w:gridCol w:w="2996"/>
        <w:gridCol w:w="4879"/>
      </w:tblGrid>
      <w:tr w:rsidR="00574295" w:rsidTr="00A83FDE">
        <w:trPr>
          <w:trHeight w:val="713"/>
        </w:trPr>
        <w:tc>
          <w:tcPr>
            <w:tcW w:w="1062" w:type="pct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14"/>
            </w:tblGrid>
            <w:tr w:rsidR="00574295" w:rsidRPr="00D566B1">
              <w:trPr>
                <w:trHeight w:val="945"/>
              </w:trPr>
              <w:tc>
                <w:tcPr>
                  <w:tcW w:w="0" w:type="auto"/>
                </w:tcPr>
                <w:p w:rsidR="00574295" w:rsidRPr="00D566B1" w:rsidRDefault="00574295" w:rsidP="001A3509">
                  <w:pPr>
                    <w:pStyle w:val="Default"/>
                    <w:jc w:val="center"/>
                    <w:rPr>
                      <w:rFonts w:ascii="Century Gothic" w:hAnsi="Century Gothic"/>
                      <w:b/>
                      <w:color w:val="003F9A"/>
                    </w:rPr>
                  </w:pPr>
                  <w:r w:rsidRPr="00D566B1">
                    <w:rPr>
                      <w:rFonts w:ascii="Century Gothic" w:hAnsi="Century Gothic"/>
                      <w:b/>
                      <w:color w:val="003F9A"/>
                    </w:rPr>
                    <w:t>Год начала формирования пенсионных накоплений у вашего текущего страховщика</w:t>
                  </w:r>
                </w:p>
                <w:p w:rsidR="00574295" w:rsidRPr="00D566B1" w:rsidRDefault="00574295" w:rsidP="001A3509">
                  <w:pPr>
                    <w:pStyle w:val="Default"/>
                    <w:jc w:val="center"/>
                    <w:rPr>
                      <w:rFonts w:ascii="Century Gothic" w:hAnsi="Century Gothic"/>
                      <w:b/>
                      <w:color w:val="003F9A"/>
                    </w:rPr>
                  </w:pPr>
                  <w:r w:rsidRPr="00D566B1">
                    <w:rPr>
                      <w:rFonts w:ascii="Century Gothic" w:hAnsi="Century Gothic"/>
                      <w:b/>
                      <w:color w:val="003F9A"/>
                    </w:rPr>
                    <w:t>(ПФР / НПФ)</w:t>
                  </w:r>
                </w:p>
              </w:tc>
            </w:tr>
          </w:tbl>
          <w:p w:rsidR="00574295" w:rsidRPr="00D566B1" w:rsidRDefault="00574295" w:rsidP="001A3509">
            <w:pPr>
              <w:ind w:right="20"/>
              <w:jc w:val="center"/>
              <w:rPr>
                <w:rFonts w:ascii="Century Gothic" w:eastAsia="Gabriola" w:hAnsi="Century Gothic" w:cstheme="minorHAnsi"/>
                <w:b/>
                <w:color w:val="003F9A"/>
                <w:sz w:val="24"/>
                <w:szCs w:val="24"/>
              </w:rPr>
            </w:pPr>
          </w:p>
        </w:tc>
        <w:tc>
          <w:tcPr>
            <w:tcW w:w="3938" w:type="pct"/>
            <w:gridSpan w:val="2"/>
          </w:tcPr>
          <w:p w:rsidR="00574295" w:rsidRPr="00D566B1" w:rsidRDefault="00574295" w:rsidP="001A3509">
            <w:pPr>
              <w:ind w:right="20"/>
              <w:jc w:val="center"/>
              <w:rPr>
                <w:rFonts w:ascii="Century Gothic" w:eastAsia="Gabriola" w:hAnsi="Century Gothic" w:cstheme="minorHAnsi"/>
                <w:b/>
                <w:color w:val="003F9A"/>
                <w:sz w:val="24"/>
                <w:szCs w:val="24"/>
              </w:rPr>
            </w:pPr>
            <w:r w:rsidRPr="00D566B1">
              <w:rPr>
                <w:rFonts w:ascii="Century Gothic" w:eastAsia="Gabriola" w:hAnsi="Century Gothic" w:cstheme="minorHAnsi"/>
                <w:b/>
                <w:color w:val="003F9A"/>
                <w:sz w:val="24"/>
                <w:szCs w:val="24"/>
              </w:rPr>
              <w:t>Потери средств пенсионных накоплений при досрочном переходе</w:t>
            </w:r>
          </w:p>
        </w:tc>
      </w:tr>
      <w:tr w:rsidR="00574295" w:rsidTr="00A83FDE">
        <w:trPr>
          <w:trHeight w:val="978"/>
        </w:trPr>
        <w:tc>
          <w:tcPr>
            <w:tcW w:w="1062" w:type="pct"/>
            <w:vMerge/>
          </w:tcPr>
          <w:p w:rsidR="00574295" w:rsidRPr="00D566B1" w:rsidRDefault="00574295" w:rsidP="001A3509">
            <w:pPr>
              <w:pStyle w:val="Default"/>
              <w:jc w:val="center"/>
              <w:rPr>
                <w:rFonts w:ascii="Century Gothic" w:hAnsi="Century Gothic"/>
                <w:b/>
                <w:color w:val="003F9A"/>
              </w:rPr>
            </w:pPr>
          </w:p>
        </w:tc>
        <w:tc>
          <w:tcPr>
            <w:tcW w:w="1508" w:type="pct"/>
          </w:tcPr>
          <w:p w:rsidR="00574295" w:rsidRPr="00D566B1" w:rsidRDefault="00574295" w:rsidP="001A3509">
            <w:pPr>
              <w:ind w:right="20"/>
              <w:jc w:val="center"/>
              <w:rPr>
                <w:rFonts w:ascii="Century Gothic" w:eastAsia="Gabriola" w:hAnsi="Century Gothic" w:cstheme="minorHAnsi"/>
                <w:b/>
                <w:color w:val="003F9A"/>
                <w:sz w:val="24"/>
                <w:szCs w:val="24"/>
              </w:rPr>
            </w:pPr>
            <w:r w:rsidRPr="00D566B1">
              <w:rPr>
                <w:rFonts w:ascii="Century Gothic" w:eastAsia="Gabriola" w:hAnsi="Century Gothic" w:cstheme="minorHAnsi"/>
                <w:b/>
                <w:color w:val="003F9A"/>
                <w:sz w:val="24"/>
                <w:szCs w:val="24"/>
              </w:rPr>
              <w:t>При положительном результате инвестирования</w:t>
            </w:r>
          </w:p>
        </w:tc>
        <w:tc>
          <w:tcPr>
            <w:tcW w:w="2430" w:type="pct"/>
          </w:tcPr>
          <w:p w:rsidR="00574295" w:rsidRPr="00D566B1" w:rsidRDefault="00574295" w:rsidP="001A3509">
            <w:pPr>
              <w:ind w:right="20"/>
              <w:jc w:val="center"/>
              <w:rPr>
                <w:rFonts w:ascii="Century Gothic" w:eastAsia="Gabriola" w:hAnsi="Century Gothic" w:cstheme="minorHAnsi"/>
                <w:b/>
                <w:color w:val="003F9A"/>
                <w:sz w:val="24"/>
                <w:szCs w:val="24"/>
              </w:rPr>
            </w:pPr>
            <w:r w:rsidRPr="00D566B1">
              <w:rPr>
                <w:rFonts w:ascii="Century Gothic" w:eastAsia="Gabriola" w:hAnsi="Century Gothic" w:cstheme="minorHAnsi"/>
                <w:b/>
                <w:color w:val="003F9A"/>
                <w:sz w:val="24"/>
                <w:szCs w:val="24"/>
              </w:rPr>
              <w:t>При отрицательном результате инвестирования</w:t>
            </w:r>
          </w:p>
        </w:tc>
      </w:tr>
      <w:tr w:rsidR="00BC6C33" w:rsidTr="00A83FDE">
        <w:trPr>
          <w:trHeight w:val="716"/>
        </w:trPr>
        <w:tc>
          <w:tcPr>
            <w:tcW w:w="1062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14"/>
            </w:tblGrid>
            <w:tr w:rsidR="00BC6C33" w:rsidRPr="00D566B1">
              <w:trPr>
                <w:trHeight w:val="140"/>
              </w:trPr>
              <w:tc>
                <w:tcPr>
                  <w:tcW w:w="0" w:type="auto"/>
                </w:tcPr>
                <w:p w:rsidR="00BC6C33" w:rsidRPr="00D566B1" w:rsidRDefault="00BC6C33" w:rsidP="006A1DCC">
                  <w:pPr>
                    <w:pStyle w:val="Default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D566B1">
                    <w:rPr>
                      <w:rFonts w:ascii="Century Gothic" w:hAnsi="Century Gothic"/>
                      <w:sz w:val="20"/>
                      <w:szCs w:val="20"/>
                    </w:rPr>
                    <w:t xml:space="preserve">С 2011 года и ранее </w:t>
                  </w:r>
                </w:p>
              </w:tc>
            </w:tr>
          </w:tbl>
          <w:p w:rsidR="00BC6C33" w:rsidRPr="00D566B1" w:rsidRDefault="00BC6C33" w:rsidP="006A1DCC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</w:p>
        </w:tc>
        <w:tc>
          <w:tcPr>
            <w:tcW w:w="3938" w:type="pct"/>
            <w:gridSpan w:val="2"/>
          </w:tcPr>
          <w:p w:rsidR="00BC6C33" w:rsidRPr="00D566B1" w:rsidRDefault="00BC6C33" w:rsidP="00BC6C33">
            <w:pPr>
              <w:ind w:right="20"/>
              <w:jc w:val="center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eastAsia="Gabriola" w:hAnsi="Century Gothic" w:cstheme="minorHAnsi"/>
                <w:sz w:val="20"/>
                <w:szCs w:val="20"/>
              </w:rPr>
              <w:t>Нет потери средств пенсионных накоплений</w:t>
            </w:r>
          </w:p>
        </w:tc>
      </w:tr>
      <w:tr w:rsidR="00341D4C" w:rsidTr="00A83FDE">
        <w:trPr>
          <w:trHeight w:val="840"/>
        </w:trPr>
        <w:tc>
          <w:tcPr>
            <w:tcW w:w="1062" w:type="pct"/>
          </w:tcPr>
          <w:p w:rsidR="00341D4C" w:rsidRPr="00D566B1" w:rsidRDefault="000A6531" w:rsidP="000A6531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С 2012 года</w:t>
            </w:r>
          </w:p>
        </w:tc>
        <w:tc>
          <w:tcPr>
            <w:tcW w:w="1508" w:type="pct"/>
          </w:tcPr>
          <w:p w:rsidR="00341D4C" w:rsidRPr="00D566B1" w:rsidRDefault="008A069A" w:rsidP="008A069A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инвестиционного дохода за 2017-2020 годы</w:t>
            </w:r>
          </w:p>
        </w:tc>
        <w:tc>
          <w:tcPr>
            <w:tcW w:w="2430" w:type="pct"/>
          </w:tcPr>
          <w:p w:rsidR="00341D4C" w:rsidRPr="00D566B1" w:rsidRDefault="000A6531" w:rsidP="000A6531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пенсионных накоплений на сумму убытка от инвестирования за 2017-2020  годы</w:t>
            </w:r>
          </w:p>
        </w:tc>
      </w:tr>
      <w:tr w:rsidR="00341D4C" w:rsidTr="00A83FDE">
        <w:trPr>
          <w:trHeight w:val="851"/>
        </w:trPr>
        <w:tc>
          <w:tcPr>
            <w:tcW w:w="1062" w:type="pct"/>
          </w:tcPr>
          <w:p w:rsidR="00341D4C" w:rsidRPr="00D566B1" w:rsidRDefault="00574295" w:rsidP="006A1DCC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С 2013 года</w:t>
            </w:r>
          </w:p>
        </w:tc>
        <w:tc>
          <w:tcPr>
            <w:tcW w:w="1508" w:type="pct"/>
          </w:tcPr>
          <w:p w:rsidR="00341D4C" w:rsidRPr="00D566B1" w:rsidRDefault="00574295" w:rsidP="00BC6C33">
            <w:pPr>
              <w:ind w:right="20"/>
              <w:jc w:val="both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инвестиционного дохода за 2018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-2020</w:t>
            </w:r>
            <w:r w:rsidRPr="00D566B1">
              <w:rPr>
                <w:rFonts w:ascii="Century Gothic" w:hAnsi="Century Gothic"/>
                <w:sz w:val="20"/>
                <w:szCs w:val="20"/>
              </w:rPr>
              <w:t xml:space="preserve"> год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ы</w:t>
            </w:r>
          </w:p>
        </w:tc>
        <w:tc>
          <w:tcPr>
            <w:tcW w:w="2430" w:type="pct"/>
          </w:tcPr>
          <w:p w:rsidR="00341D4C" w:rsidRPr="00D566B1" w:rsidRDefault="00574295" w:rsidP="006A1DCC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пенсионных накоплений на сумму убытка от инвестирования за 2018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 xml:space="preserve">-2020 </w:t>
            </w:r>
            <w:r w:rsidRPr="00D566B1">
              <w:rPr>
                <w:rFonts w:ascii="Century Gothic" w:hAnsi="Century Gothic"/>
                <w:sz w:val="20"/>
                <w:szCs w:val="20"/>
              </w:rPr>
              <w:t xml:space="preserve"> год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ы</w:t>
            </w:r>
          </w:p>
        </w:tc>
      </w:tr>
      <w:tr w:rsidR="00BC6C33" w:rsidTr="00A83FDE">
        <w:trPr>
          <w:trHeight w:val="851"/>
        </w:trPr>
        <w:tc>
          <w:tcPr>
            <w:tcW w:w="1062" w:type="pct"/>
          </w:tcPr>
          <w:p w:rsidR="00BC6C33" w:rsidRPr="00D566B1" w:rsidRDefault="00BC6C33" w:rsidP="00BC6C33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С 2014 года</w:t>
            </w:r>
          </w:p>
        </w:tc>
        <w:tc>
          <w:tcPr>
            <w:tcW w:w="1508" w:type="pct"/>
          </w:tcPr>
          <w:p w:rsidR="00BC6C33" w:rsidRPr="00D566B1" w:rsidRDefault="00BC6C33" w:rsidP="00BC6C33">
            <w:pPr>
              <w:ind w:right="20"/>
              <w:jc w:val="both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инвестиционного дохода за 2019-2020 годы</w:t>
            </w:r>
          </w:p>
        </w:tc>
        <w:tc>
          <w:tcPr>
            <w:tcW w:w="2430" w:type="pct"/>
          </w:tcPr>
          <w:p w:rsidR="00BC6C33" w:rsidRPr="00D566B1" w:rsidRDefault="00BC6C33" w:rsidP="00BC6C33">
            <w:pPr>
              <w:ind w:right="20"/>
              <w:jc w:val="both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пенсионных накоплений на сумму убытка от инвестирования за 2019-2020  годы</w:t>
            </w:r>
          </w:p>
        </w:tc>
      </w:tr>
      <w:tr w:rsidR="00341D4C" w:rsidTr="00A83FDE">
        <w:trPr>
          <w:trHeight w:val="679"/>
        </w:trPr>
        <w:tc>
          <w:tcPr>
            <w:tcW w:w="1062" w:type="pct"/>
          </w:tcPr>
          <w:p w:rsidR="00341D4C" w:rsidRPr="00D566B1" w:rsidRDefault="00EC5D98" w:rsidP="006A1DCC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 xml:space="preserve">С 2015 года </w:t>
            </w:r>
          </w:p>
        </w:tc>
        <w:tc>
          <w:tcPr>
            <w:tcW w:w="1508" w:type="pct"/>
          </w:tcPr>
          <w:p w:rsidR="00341D4C" w:rsidRPr="00D566B1" w:rsidRDefault="00EC5D98" w:rsidP="00BC6C33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 xml:space="preserve">Потеря инвестиционного дохода за 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2020</w:t>
            </w:r>
            <w:r w:rsidRPr="00D566B1">
              <w:rPr>
                <w:rFonts w:ascii="Century Gothic" w:hAnsi="Century Gothic"/>
                <w:sz w:val="20"/>
                <w:szCs w:val="20"/>
              </w:rPr>
              <w:t xml:space="preserve"> год</w:t>
            </w:r>
          </w:p>
        </w:tc>
        <w:tc>
          <w:tcPr>
            <w:tcW w:w="2430" w:type="pct"/>
          </w:tcPr>
          <w:p w:rsidR="00341D4C" w:rsidRPr="00D566B1" w:rsidRDefault="00EC5D98" w:rsidP="00BC6C33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 xml:space="preserve">Потеря пенсионных накоплений на сумму убытка от инвестирования за 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2020</w:t>
            </w:r>
            <w:r w:rsidRPr="00D566B1">
              <w:rPr>
                <w:rFonts w:ascii="Century Gothic" w:hAnsi="Century Gothic"/>
                <w:sz w:val="20"/>
                <w:szCs w:val="20"/>
              </w:rPr>
              <w:t xml:space="preserve"> год</w:t>
            </w:r>
          </w:p>
        </w:tc>
      </w:tr>
      <w:tr w:rsidR="00BC6C33" w:rsidTr="00A83FDE">
        <w:trPr>
          <w:trHeight w:val="561"/>
        </w:trPr>
        <w:tc>
          <w:tcPr>
            <w:tcW w:w="1062" w:type="pct"/>
          </w:tcPr>
          <w:p w:rsidR="00BC6C33" w:rsidRPr="00D566B1" w:rsidRDefault="00BC6C33" w:rsidP="006A1DCC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С 2016 года</w:t>
            </w:r>
          </w:p>
        </w:tc>
        <w:tc>
          <w:tcPr>
            <w:tcW w:w="3938" w:type="pct"/>
            <w:gridSpan w:val="2"/>
          </w:tcPr>
          <w:p w:rsidR="00BC6C33" w:rsidRPr="00D566B1" w:rsidRDefault="00BC6C33" w:rsidP="00BC6C33">
            <w:pPr>
              <w:ind w:right="20"/>
              <w:jc w:val="center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eastAsia="Gabriola" w:hAnsi="Century Gothic" w:cstheme="minorHAnsi"/>
                <w:sz w:val="20"/>
                <w:szCs w:val="20"/>
              </w:rPr>
              <w:t>Нет потери средств пенсионных накоплений</w:t>
            </w:r>
          </w:p>
        </w:tc>
      </w:tr>
      <w:tr w:rsidR="00341D4C" w:rsidTr="00A83FDE">
        <w:trPr>
          <w:trHeight w:val="851"/>
        </w:trPr>
        <w:tc>
          <w:tcPr>
            <w:tcW w:w="1062" w:type="pct"/>
          </w:tcPr>
          <w:p w:rsidR="00341D4C" w:rsidRPr="00D566B1" w:rsidRDefault="00EC5D98" w:rsidP="006A1DCC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С 2017 года</w:t>
            </w:r>
          </w:p>
        </w:tc>
        <w:tc>
          <w:tcPr>
            <w:tcW w:w="1508" w:type="pct"/>
          </w:tcPr>
          <w:p w:rsidR="00341D4C" w:rsidRPr="00D566B1" w:rsidRDefault="00EC5D98" w:rsidP="00BC6C33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инвестиционного дохода за 2017-20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20</w:t>
            </w:r>
            <w:r w:rsidRPr="00D566B1">
              <w:rPr>
                <w:rFonts w:ascii="Century Gothic" w:hAnsi="Century Gothic"/>
                <w:sz w:val="20"/>
                <w:szCs w:val="20"/>
              </w:rPr>
              <w:t xml:space="preserve"> годы</w:t>
            </w:r>
          </w:p>
        </w:tc>
        <w:tc>
          <w:tcPr>
            <w:tcW w:w="2430" w:type="pct"/>
          </w:tcPr>
          <w:p w:rsidR="00341D4C" w:rsidRPr="00D566B1" w:rsidRDefault="00EC5D98" w:rsidP="00BC6C33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пенсионных накоплений на сумму убытка от инвестирования за 2017-20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20</w:t>
            </w:r>
            <w:r w:rsidRPr="00D566B1">
              <w:rPr>
                <w:rFonts w:ascii="Century Gothic" w:hAnsi="Century Gothic"/>
                <w:sz w:val="20"/>
                <w:szCs w:val="20"/>
              </w:rPr>
              <w:t xml:space="preserve"> годы</w:t>
            </w:r>
          </w:p>
        </w:tc>
      </w:tr>
      <w:tr w:rsidR="00EC5D98" w:rsidTr="00A83FDE">
        <w:trPr>
          <w:trHeight w:val="851"/>
        </w:trPr>
        <w:tc>
          <w:tcPr>
            <w:tcW w:w="1062" w:type="pct"/>
          </w:tcPr>
          <w:p w:rsidR="00EC5D98" w:rsidRPr="00D566B1" w:rsidRDefault="00EC5D98" w:rsidP="006A1DCC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С 2018 года</w:t>
            </w:r>
          </w:p>
        </w:tc>
        <w:tc>
          <w:tcPr>
            <w:tcW w:w="1508" w:type="pct"/>
          </w:tcPr>
          <w:p w:rsidR="00EC5D98" w:rsidRPr="00D566B1" w:rsidRDefault="00EC5D98" w:rsidP="00C278DD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инвестиционного дохода за 2018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-2020</w:t>
            </w:r>
            <w:r w:rsidRPr="00D566B1">
              <w:rPr>
                <w:rFonts w:ascii="Century Gothic" w:hAnsi="Century Gothic"/>
                <w:sz w:val="20"/>
                <w:szCs w:val="20"/>
              </w:rPr>
              <w:t xml:space="preserve"> год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ы</w:t>
            </w:r>
          </w:p>
        </w:tc>
        <w:tc>
          <w:tcPr>
            <w:tcW w:w="2430" w:type="pct"/>
          </w:tcPr>
          <w:p w:rsidR="00EC5D98" w:rsidRPr="00D566B1" w:rsidRDefault="00EC5D98" w:rsidP="00C278DD">
            <w:pPr>
              <w:ind w:right="20"/>
              <w:rPr>
                <w:rFonts w:ascii="Century Gothic" w:eastAsia="Gabriola" w:hAnsi="Century Gothic" w:cstheme="minorHAnsi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пенсионных накоплений на сумму убытка от инвестирования за 2018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-2020</w:t>
            </w:r>
            <w:r w:rsidRPr="00D566B1">
              <w:rPr>
                <w:rFonts w:ascii="Century Gothic" w:hAnsi="Century Gothic"/>
                <w:sz w:val="20"/>
                <w:szCs w:val="20"/>
              </w:rPr>
              <w:t xml:space="preserve"> год</w:t>
            </w:r>
            <w:r w:rsidR="00BC6C33" w:rsidRPr="00D566B1">
              <w:rPr>
                <w:rFonts w:ascii="Century Gothic" w:hAnsi="Century Gothic"/>
                <w:sz w:val="20"/>
                <w:szCs w:val="20"/>
              </w:rPr>
              <w:t>ы</w:t>
            </w:r>
          </w:p>
        </w:tc>
      </w:tr>
      <w:tr w:rsidR="007645AD" w:rsidTr="00A83FDE">
        <w:trPr>
          <w:trHeight w:val="851"/>
        </w:trPr>
        <w:tc>
          <w:tcPr>
            <w:tcW w:w="1062" w:type="pct"/>
          </w:tcPr>
          <w:p w:rsidR="007645AD" w:rsidRPr="00D566B1" w:rsidRDefault="008A069A" w:rsidP="008A069A">
            <w:pPr>
              <w:ind w:right="20"/>
              <w:rPr>
                <w:rFonts w:ascii="Century Gothic" w:hAnsi="Century Gothic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С 2019 года</w:t>
            </w:r>
          </w:p>
        </w:tc>
        <w:tc>
          <w:tcPr>
            <w:tcW w:w="1508" w:type="pct"/>
          </w:tcPr>
          <w:p w:rsidR="007645AD" w:rsidRPr="00D566B1" w:rsidRDefault="008A069A" w:rsidP="008A069A">
            <w:pPr>
              <w:ind w:right="20"/>
              <w:rPr>
                <w:rFonts w:ascii="Century Gothic" w:hAnsi="Century Gothic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инвестиционного дохода за 2019-2020 годы</w:t>
            </w:r>
          </w:p>
        </w:tc>
        <w:tc>
          <w:tcPr>
            <w:tcW w:w="2430" w:type="pct"/>
          </w:tcPr>
          <w:p w:rsidR="007645AD" w:rsidRPr="00D566B1" w:rsidRDefault="008A069A" w:rsidP="008A069A">
            <w:pPr>
              <w:ind w:right="20"/>
              <w:rPr>
                <w:rFonts w:ascii="Century Gothic" w:hAnsi="Century Gothic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пенсионных накоплений на сумму убытка от инвестирования за 2019-2020 годы</w:t>
            </w:r>
          </w:p>
        </w:tc>
      </w:tr>
      <w:tr w:rsidR="008A069A" w:rsidTr="00A83FDE">
        <w:trPr>
          <w:trHeight w:val="851"/>
        </w:trPr>
        <w:tc>
          <w:tcPr>
            <w:tcW w:w="1062" w:type="pct"/>
          </w:tcPr>
          <w:p w:rsidR="008A069A" w:rsidRPr="00D566B1" w:rsidRDefault="008A069A" w:rsidP="008A069A">
            <w:pPr>
              <w:ind w:right="20"/>
              <w:rPr>
                <w:rFonts w:ascii="Century Gothic" w:hAnsi="Century Gothic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С 2020 года</w:t>
            </w:r>
          </w:p>
        </w:tc>
        <w:tc>
          <w:tcPr>
            <w:tcW w:w="1508" w:type="pct"/>
          </w:tcPr>
          <w:p w:rsidR="008A069A" w:rsidRPr="00D566B1" w:rsidRDefault="008A069A" w:rsidP="008A069A">
            <w:pPr>
              <w:ind w:right="20"/>
              <w:rPr>
                <w:rFonts w:ascii="Century Gothic" w:hAnsi="Century Gothic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инвестиционного дохода за 2020 год</w:t>
            </w:r>
          </w:p>
        </w:tc>
        <w:tc>
          <w:tcPr>
            <w:tcW w:w="2430" w:type="pct"/>
          </w:tcPr>
          <w:p w:rsidR="008A069A" w:rsidRPr="00D566B1" w:rsidRDefault="008A069A" w:rsidP="008A069A">
            <w:pPr>
              <w:ind w:right="20"/>
              <w:rPr>
                <w:rFonts w:ascii="Century Gothic" w:hAnsi="Century Gothic"/>
                <w:sz w:val="20"/>
                <w:szCs w:val="20"/>
              </w:rPr>
            </w:pPr>
            <w:r w:rsidRPr="00D566B1">
              <w:rPr>
                <w:rFonts w:ascii="Century Gothic" w:hAnsi="Century Gothic"/>
                <w:sz w:val="20"/>
                <w:szCs w:val="20"/>
              </w:rPr>
              <w:t>Потеря пенсионных накоплений на сумму убытка от инвестирования за 2020 год</w:t>
            </w:r>
          </w:p>
        </w:tc>
      </w:tr>
    </w:tbl>
    <w:p w:rsidR="00217AB2" w:rsidRPr="00A64154" w:rsidRDefault="00217AB2" w:rsidP="00217AB2">
      <w:pPr>
        <w:spacing w:line="20" w:lineRule="exact"/>
        <w:rPr>
          <w:rFonts w:asciiTheme="minorHAnsi" w:hAnsiTheme="minorHAnsi" w:cstheme="minorHAnsi"/>
          <w:sz w:val="24"/>
          <w:szCs w:val="24"/>
        </w:rPr>
      </w:pPr>
    </w:p>
    <w:p w:rsidR="00217AB2" w:rsidRPr="00A64154" w:rsidRDefault="00217AB2" w:rsidP="00217AB2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17AB2" w:rsidRDefault="00C278DD" w:rsidP="00217AB2">
      <w:pPr>
        <w:spacing w:line="28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</w:t>
      </w:r>
    </w:p>
    <w:p w:rsidR="00A83FDE" w:rsidRPr="00D566B1" w:rsidRDefault="00C278DD" w:rsidP="00977AFA">
      <w:pPr>
        <w:spacing w:line="280" w:lineRule="exact"/>
        <w:rPr>
          <w:rFonts w:ascii="Century Gothic" w:eastAsia="Gabriola" w:hAnsi="Century Gothic" w:cstheme="minorHAnsi"/>
          <w:b/>
          <w:bCs/>
          <w:color w:val="FFFFFF"/>
          <w:sz w:val="18"/>
          <w:szCs w:val="18"/>
        </w:rPr>
      </w:pPr>
      <w:r w:rsidRPr="00D566B1">
        <w:rPr>
          <w:rFonts w:ascii="Century Gothic" w:hAnsi="Century Gothic" w:cstheme="minorHAnsi"/>
          <w:sz w:val="18"/>
          <w:szCs w:val="18"/>
        </w:rPr>
        <w:t>В таблице приводятся варианты, когда гражданин подает заявление в 20</w:t>
      </w:r>
      <w:r w:rsidR="00BC6C33" w:rsidRPr="00D566B1">
        <w:rPr>
          <w:rFonts w:ascii="Century Gothic" w:hAnsi="Century Gothic" w:cstheme="minorHAnsi"/>
          <w:sz w:val="18"/>
          <w:szCs w:val="18"/>
        </w:rPr>
        <w:t>20</w:t>
      </w:r>
      <w:r w:rsidRPr="00D566B1">
        <w:rPr>
          <w:rFonts w:ascii="Century Gothic" w:hAnsi="Century Gothic" w:cstheme="minorHAnsi"/>
          <w:sz w:val="18"/>
          <w:szCs w:val="18"/>
        </w:rPr>
        <w:t xml:space="preserve"> году о досрочном переходе, а передача средств пенсионных накоплений выбранному страховщику будет осуществляться в 20</w:t>
      </w:r>
      <w:r w:rsidR="00BC6C33" w:rsidRPr="00D566B1">
        <w:rPr>
          <w:rFonts w:ascii="Century Gothic" w:hAnsi="Century Gothic" w:cstheme="minorHAnsi"/>
          <w:sz w:val="18"/>
          <w:szCs w:val="18"/>
        </w:rPr>
        <w:t>21</w:t>
      </w:r>
      <w:r w:rsidRPr="00D566B1">
        <w:rPr>
          <w:rFonts w:ascii="Century Gothic" w:hAnsi="Century Gothic" w:cstheme="minorHAnsi"/>
          <w:sz w:val="18"/>
          <w:szCs w:val="18"/>
        </w:rPr>
        <w:t xml:space="preserve"> год</w:t>
      </w:r>
      <w:r w:rsidR="00833EF4" w:rsidRPr="00D566B1">
        <w:rPr>
          <w:rFonts w:ascii="Century Gothic" w:hAnsi="Century Gothic" w:cstheme="minorHAnsi"/>
          <w:sz w:val="18"/>
          <w:szCs w:val="18"/>
        </w:rPr>
        <w:t>у</w:t>
      </w:r>
      <w:r w:rsidR="00217AB2" w:rsidRPr="00D566B1">
        <w:rPr>
          <w:rFonts w:ascii="Century Gothic" w:eastAsia="Gabriola" w:hAnsi="Century Gothic" w:cstheme="minorHAnsi"/>
          <w:b/>
          <w:bCs/>
          <w:color w:val="FFFFFF"/>
          <w:sz w:val="18"/>
          <w:szCs w:val="18"/>
        </w:rPr>
        <w:t xml:space="preserve">ках одного </w:t>
      </w:r>
    </w:p>
    <w:p w:rsidR="00A83FDE" w:rsidRDefault="00A83FDE" w:rsidP="00977AFA">
      <w:pPr>
        <w:spacing w:line="280" w:lineRule="exact"/>
        <w:rPr>
          <w:rFonts w:asciiTheme="minorHAnsi" w:eastAsia="Gabriola" w:hAnsiTheme="minorHAnsi" w:cstheme="minorHAnsi"/>
          <w:b/>
          <w:bCs/>
          <w:color w:val="FFFFFF"/>
          <w:sz w:val="25"/>
          <w:szCs w:val="25"/>
        </w:rPr>
      </w:pPr>
    </w:p>
    <w:p w:rsidR="00217AB2" w:rsidRPr="00977AFA" w:rsidRDefault="00217AB2" w:rsidP="00977AFA">
      <w:pPr>
        <w:spacing w:line="280" w:lineRule="exact"/>
        <w:rPr>
          <w:rFonts w:asciiTheme="minorHAnsi" w:hAnsiTheme="minorHAnsi" w:cstheme="minorHAnsi"/>
          <w:sz w:val="20"/>
          <w:szCs w:val="20"/>
        </w:rPr>
      </w:pPr>
      <w:r w:rsidRPr="00A64154">
        <w:rPr>
          <w:rFonts w:asciiTheme="minorHAnsi" w:eastAsia="Gabriola" w:hAnsiTheme="minorHAnsi" w:cstheme="minorHAnsi"/>
          <w:b/>
          <w:bCs/>
          <w:color w:val="FFFFFF"/>
          <w:sz w:val="25"/>
          <w:szCs w:val="25"/>
        </w:rPr>
        <w:t>закона, ЕДВ устанавливается по одному</w:t>
      </w:r>
      <w:r w:rsidRPr="00217AB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-438340</wp:posOffset>
            </wp:positionH>
            <wp:positionV relativeFrom="paragraph">
              <wp:posOffset>946776</wp:posOffset>
            </wp:positionV>
            <wp:extent cx="7346296" cy="354841"/>
            <wp:effectExtent l="19050" t="0" r="7004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296" cy="354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17AB2" w:rsidRPr="00977AFA" w:rsidSect="00A83FDE">
      <w:pgSz w:w="11906" w:h="16838"/>
      <w:pgMar w:top="1134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368ACA9C"/>
    <w:lvl w:ilvl="0" w:tplc="3B8CC0C2">
      <w:start w:val="1"/>
      <w:numFmt w:val="bullet"/>
      <w:lvlText w:val="В"/>
      <w:lvlJc w:val="left"/>
    </w:lvl>
    <w:lvl w:ilvl="1" w:tplc="83C2183C">
      <w:numFmt w:val="decimal"/>
      <w:lvlText w:val=""/>
      <w:lvlJc w:val="left"/>
    </w:lvl>
    <w:lvl w:ilvl="2" w:tplc="047680A6">
      <w:numFmt w:val="decimal"/>
      <w:lvlText w:val=""/>
      <w:lvlJc w:val="left"/>
    </w:lvl>
    <w:lvl w:ilvl="3" w:tplc="CB68E81C">
      <w:numFmt w:val="decimal"/>
      <w:lvlText w:val=""/>
      <w:lvlJc w:val="left"/>
    </w:lvl>
    <w:lvl w:ilvl="4" w:tplc="32F09A22">
      <w:numFmt w:val="decimal"/>
      <w:lvlText w:val=""/>
      <w:lvlJc w:val="left"/>
    </w:lvl>
    <w:lvl w:ilvl="5" w:tplc="8A545508">
      <w:numFmt w:val="decimal"/>
      <w:lvlText w:val=""/>
      <w:lvlJc w:val="left"/>
    </w:lvl>
    <w:lvl w:ilvl="6" w:tplc="90C2CE2C">
      <w:numFmt w:val="decimal"/>
      <w:lvlText w:val=""/>
      <w:lvlJc w:val="left"/>
    </w:lvl>
    <w:lvl w:ilvl="7" w:tplc="FDBA8656">
      <w:numFmt w:val="decimal"/>
      <w:lvlText w:val=""/>
      <w:lvlJc w:val="left"/>
    </w:lvl>
    <w:lvl w:ilvl="8" w:tplc="F692064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AB2"/>
    <w:rsid w:val="00052918"/>
    <w:rsid w:val="000A6531"/>
    <w:rsid w:val="001A3509"/>
    <w:rsid w:val="001B3541"/>
    <w:rsid w:val="00217AB2"/>
    <w:rsid w:val="00341D4C"/>
    <w:rsid w:val="00347A02"/>
    <w:rsid w:val="003866A2"/>
    <w:rsid w:val="003A4CD2"/>
    <w:rsid w:val="00574295"/>
    <w:rsid w:val="00667EE3"/>
    <w:rsid w:val="006A1DCC"/>
    <w:rsid w:val="006B3311"/>
    <w:rsid w:val="007645AD"/>
    <w:rsid w:val="007904F5"/>
    <w:rsid w:val="0079501F"/>
    <w:rsid w:val="0081483E"/>
    <w:rsid w:val="00833EF4"/>
    <w:rsid w:val="00850C59"/>
    <w:rsid w:val="008A069A"/>
    <w:rsid w:val="008F0A61"/>
    <w:rsid w:val="00977AFA"/>
    <w:rsid w:val="00A614FB"/>
    <w:rsid w:val="00A64AFF"/>
    <w:rsid w:val="00A72439"/>
    <w:rsid w:val="00A83FDE"/>
    <w:rsid w:val="00AC40B1"/>
    <w:rsid w:val="00BC6C33"/>
    <w:rsid w:val="00C278DD"/>
    <w:rsid w:val="00CB1EDC"/>
    <w:rsid w:val="00D566B1"/>
    <w:rsid w:val="00EC5D98"/>
    <w:rsid w:val="00FC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AB2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41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1D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0497A-9160-490F-ADF2-0B2843DE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Данильчук</dc:creator>
  <cp:lastModifiedBy>044RybinaGI</cp:lastModifiedBy>
  <cp:revision>10</cp:revision>
  <cp:lastPrinted>2020-02-21T12:13:00Z</cp:lastPrinted>
  <dcterms:created xsi:type="dcterms:W3CDTF">2018-11-14T11:23:00Z</dcterms:created>
  <dcterms:modified xsi:type="dcterms:W3CDTF">2020-02-26T14:48:00Z</dcterms:modified>
</cp:coreProperties>
</file>