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DE" w:rsidRDefault="000573DE" w:rsidP="007D7DBB">
      <w:pPr>
        <w:spacing w:after="0" w:line="390" w:lineRule="atLeast"/>
        <w:jc w:val="center"/>
        <w:outlineLvl w:val="0"/>
        <w:rPr>
          <w:rFonts w:ascii="Arial" w:eastAsia="Times New Roman" w:hAnsi="Arial" w:cs="Arial"/>
          <w:spacing w:val="-15"/>
          <w:kern w:val="36"/>
          <w:sz w:val="24"/>
          <w:szCs w:val="24"/>
          <w:lang w:eastAsia="ru-RU"/>
        </w:rPr>
      </w:pPr>
      <w:r w:rsidRPr="000573DE">
        <w:rPr>
          <w:rFonts w:ascii="Arial" w:eastAsia="Times New Roman" w:hAnsi="Arial" w:cs="Arial"/>
          <w:spacing w:val="-15"/>
          <w:kern w:val="36"/>
          <w:sz w:val="24"/>
          <w:szCs w:val="24"/>
          <w:lang w:eastAsia="ru-RU"/>
        </w:rPr>
        <w:fldChar w:fldCharType="begin"/>
      </w:r>
      <w:r w:rsidRPr="000573DE">
        <w:rPr>
          <w:rFonts w:ascii="Arial" w:eastAsia="Times New Roman" w:hAnsi="Arial" w:cs="Arial"/>
          <w:spacing w:val="-15"/>
          <w:kern w:val="36"/>
          <w:sz w:val="24"/>
          <w:szCs w:val="24"/>
          <w:lang w:eastAsia="ru-RU"/>
        </w:rPr>
        <w:instrText xml:space="preserve"> HYPERLINK "http://adm-avilov.ru/index.php?option=com_content&amp;view=article&amp;id=648:2021-09-13-11-03-53&amp;catid=8:2015-04-14-07-25-36&amp;Itemid=9" </w:instrText>
      </w:r>
      <w:r w:rsidRPr="000573DE">
        <w:rPr>
          <w:rFonts w:ascii="Arial" w:eastAsia="Times New Roman" w:hAnsi="Arial" w:cs="Arial"/>
          <w:spacing w:val="-15"/>
          <w:kern w:val="36"/>
          <w:sz w:val="24"/>
          <w:szCs w:val="24"/>
          <w:lang w:eastAsia="ru-RU"/>
        </w:rPr>
        <w:fldChar w:fldCharType="separate"/>
      </w:r>
      <w:r w:rsidRPr="007D7DBB">
        <w:rPr>
          <w:rFonts w:ascii="Arial" w:eastAsia="Times New Roman" w:hAnsi="Arial" w:cs="Arial"/>
          <w:spacing w:val="-15"/>
          <w:kern w:val="36"/>
          <w:sz w:val="24"/>
          <w:szCs w:val="24"/>
          <w:lang w:eastAsia="ru-RU"/>
        </w:rPr>
        <w:t>Перечень объектов муниципального контроля с категорированием риска</w:t>
      </w:r>
      <w:r w:rsidRPr="000573DE">
        <w:rPr>
          <w:rFonts w:ascii="Arial" w:eastAsia="Times New Roman" w:hAnsi="Arial" w:cs="Arial"/>
          <w:spacing w:val="-15"/>
          <w:kern w:val="36"/>
          <w:sz w:val="24"/>
          <w:szCs w:val="24"/>
          <w:lang w:eastAsia="ru-RU"/>
        </w:rPr>
        <w:fldChar w:fldCharType="end"/>
      </w:r>
    </w:p>
    <w:p w:rsidR="007D7DBB" w:rsidRPr="000573DE" w:rsidRDefault="007D7DBB" w:rsidP="007D7DBB">
      <w:pPr>
        <w:spacing w:after="0" w:line="390" w:lineRule="atLeast"/>
        <w:jc w:val="center"/>
        <w:outlineLvl w:val="0"/>
        <w:rPr>
          <w:rFonts w:ascii="Arial" w:eastAsia="Times New Roman" w:hAnsi="Arial" w:cs="Arial"/>
          <w:spacing w:val="-15"/>
          <w:kern w:val="36"/>
          <w:sz w:val="24"/>
          <w:szCs w:val="24"/>
          <w:lang w:eastAsia="ru-RU"/>
        </w:rPr>
      </w:pPr>
    </w:p>
    <w:p w:rsidR="000573DE" w:rsidRPr="000573DE" w:rsidRDefault="000573DE" w:rsidP="000573DE">
      <w:pPr>
        <w:spacing w:after="225" w:line="216" w:lineRule="atLeast"/>
        <w:rPr>
          <w:rFonts w:ascii="Arial" w:eastAsia="Times New Roman" w:hAnsi="Arial" w:cs="Arial"/>
          <w:iCs/>
          <w:spacing w:val="15"/>
          <w:sz w:val="24"/>
          <w:szCs w:val="24"/>
          <w:lang w:eastAsia="ru-RU"/>
        </w:rPr>
      </w:pPr>
      <w:r w:rsidRPr="007D7DBB">
        <w:rPr>
          <w:rFonts w:ascii="Arial" w:eastAsia="Times New Roman" w:hAnsi="Arial" w:cs="Arial"/>
          <w:iCs/>
          <w:spacing w:val="15"/>
          <w:sz w:val="24"/>
          <w:szCs w:val="24"/>
          <w:lang w:eastAsia="ru-RU"/>
        </w:rPr>
        <w:t>13 Сентября 2021</w:t>
      </w:r>
    </w:p>
    <w:p w:rsidR="000573DE" w:rsidRPr="000573DE" w:rsidRDefault="000573DE" w:rsidP="007D7DBB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73DE">
        <w:rPr>
          <w:rFonts w:ascii="Arial" w:eastAsia="Times New Roman" w:hAnsi="Arial" w:cs="Arial"/>
          <w:sz w:val="24"/>
          <w:szCs w:val="24"/>
          <w:lang w:eastAsia="ru-RU"/>
        </w:rPr>
        <w:t> Перечень объектов муниципального контроля с категорированием риска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1244"/>
        <w:gridCol w:w="1934"/>
        <w:gridCol w:w="1244"/>
        <w:gridCol w:w="1554"/>
        <w:gridCol w:w="1266"/>
      </w:tblGrid>
      <w:tr w:rsidR="000573DE" w:rsidRPr="000573DE" w:rsidTr="007D7DBB">
        <w:tc>
          <w:tcPr>
            <w:tcW w:w="89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муниципального контроля</w:t>
            </w:r>
          </w:p>
        </w:tc>
      </w:tr>
      <w:tr w:rsidR="000573DE" w:rsidRPr="000573DE" w:rsidTr="007D7DBB">
        <w:tc>
          <w:tcPr>
            <w:tcW w:w="294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317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</w:tr>
      <w:tr w:rsidR="000573DE" w:rsidRPr="000573DE" w:rsidTr="007D7DBB">
        <w:tc>
          <w:tcPr>
            <w:tcW w:w="1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муниципального контроля</w:t>
            </w:r>
          </w:p>
        </w:tc>
        <w:tc>
          <w:tcPr>
            <w:tcW w:w="12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риска</w:t>
            </w:r>
          </w:p>
        </w:tc>
        <w:tc>
          <w:tcPr>
            <w:tcW w:w="1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муниципального контроля</w:t>
            </w:r>
          </w:p>
        </w:tc>
        <w:tc>
          <w:tcPr>
            <w:tcW w:w="12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риска</w:t>
            </w:r>
          </w:p>
        </w:tc>
        <w:tc>
          <w:tcPr>
            <w:tcW w:w="15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муниципального контроля</w:t>
            </w:r>
          </w:p>
        </w:tc>
        <w:tc>
          <w:tcPr>
            <w:tcW w:w="12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риска</w:t>
            </w:r>
          </w:p>
        </w:tc>
      </w:tr>
      <w:tr w:rsidR="000573DE" w:rsidRPr="000573DE" w:rsidTr="007D7DBB">
        <w:tc>
          <w:tcPr>
            <w:tcW w:w="1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требований,  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2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Значительный</w:t>
            </w:r>
          </w:p>
        </w:tc>
        <w:tc>
          <w:tcPr>
            <w:tcW w:w="1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7D7DBB" w:rsidRDefault="000573DE" w:rsidP="000573DE">
            <w:pPr>
              <w:pStyle w:val="a6"/>
              <w:rPr>
                <w:rFonts w:ascii="Arial" w:hAnsi="Arial" w:cs="Arial"/>
                <w:lang w:eastAsia="ru-RU"/>
              </w:rPr>
            </w:pPr>
            <w:r w:rsidRPr="007D7DBB">
              <w:rPr>
                <w:rFonts w:ascii="Arial" w:hAnsi="Arial" w:cs="Arial"/>
                <w:lang w:eastAsia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</w:t>
            </w:r>
            <w:r w:rsidRPr="007D7DBB">
              <w:rPr>
                <w:rFonts w:ascii="Arial" w:hAnsi="Arial" w:cs="Arial"/>
                <w:lang w:eastAsia="ru-RU"/>
              </w:rPr>
              <w:lastRenderedPageBreak/>
              <w:t>правонарушения, связанного с нарушением требований Правил благоустройства Захаровского сельского поселения Клетского</w:t>
            </w:r>
          </w:p>
          <w:p w:rsidR="007D7DBB" w:rsidRPr="007D7DBB" w:rsidRDefault="000573DE" w:rsidP="007D7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DBB">
              <w:rPr>
                <w:rFonts w:ascii="Arial" w:hAnsi="Arial" w:cs="Arial"/>
                <w:lang w:eastAsia="ru-RU"/>
              </w:rPr>
              <w:t>муниципального района Волгоградской области</w:t>
            </w:r>
            <w:r w:rsidRPr="007D7DBB">
              <w:rPr>
                <w:rFonts w:ascii="Arial" w:hAnsi="Arial" w:cs="Arial"/>
                <w:i/>
                <w:iCs/>
                <w:lang w:eastAsia="ru-RU"/>
              </w:rPr>
              <w:t>, </w:t>
            </w:r>
            <w:r w:rsidRPr="007D7DBB">
              <w:rPr>
                <w:rFonts w:ascii="Arial" w:hAnsi="Arial" w:cs="Arial"/>
                <w:lang w:eastAsia="ru-RU"/>
              </w:rPr>
              <w:t>утвержденного решением</w:t>
            </w:r>
            <w:r w:rsidRPr="007D7DBB">
              <w:rPr>
                <w:rFonts w:ascii="Arial" w:hAnsi="Arial" w:cs="Arial"/>
                <w:i/>
                <w:iCs/>
                <w:lang w:eastAsia="ru-RU"/>
              </w:rPr>
              <w:t> Совета депутатов Захаровского сельского поселения Клетского муниципального района Волгоградской области </w:t>
            </w:r>
            <w:r w:rsidRPr="007D7DBB">
              <w:rPr>
                <w:rFonts w:ascii="Arial" w:hAnsi="Arial" w:cs="Arial"/>
                <w:lang w:eastAsia="ru-RU"/>
              </w:rPr>
              <w:t xml:space="preserve">от </w:t>
            </w:r>
            <w:r w:rsidR="007D7DBB" w:rsidRPr="007D7DBB">
              <w:rPr>
                <w:rFonts w:ascii="Arial" w:eastAsia="Times New Roman" w:hAnsi="Arial" w:cs="Arial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  <w:p w:rsidR="000573DE" w:rsidRPr="007D7DBB" w:rsidRDefault="000573DE" w:rsidP="000573DE">
            <w:pPr>
              <w:pStyle w:val="a6"/>
              <w:rPr>
                <w:rFonts w:ascii="Arial" w:hAnsi="Arial" w:cs="Arial"/>
                <w:lang w:eastAsia="ru-RU"/>
              </w:rPr>
            </w:pPr>
            <w:r w:rsidRPr="007D7DBB">
              <w:rPr>
                <w:rFonts w:ascii="Arial" w:hAnsi="Arial" w:cs="Arial"/>
                <w:lang w:eastAsia="ru-RU"/>
              </w:rPr>
              <w:t xml:space="preserve"> (далее – Правила благоустройства).</w:t>
            </w:r>
          </w:p>
        </w:tc>
        <w:tc>
          <w:tcPr>
            <w:tcW w:w="12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деятельности контролируе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мых лиц, в том числе работы и услуги, к которым предъявляются обязательные требования;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      </w:r>
          </w:p>
        </w:tc>
        <w:tc>
          <w:tcPr>
            <w:tcW w:w="1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Высокий риск;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риск;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умеренный риск;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низкий риск.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Отнесение объектов контроля</w:t>
            </w:r>
            <w:r w:rsidRPr="007D7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определенной категории риска осуществляется в зависимости от значения показателя риска: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значении показател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риска более 6 объект контроля относится к категории высокого риска;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значении показателя риска от 4 до 6 включительно - к категории среднего риска;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значении показателя риска от 2 до 3 включительно - к категории умеренного риска;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значении показателя риска от 0 до 1 включительно - к категории низкого риска.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Показатель риска рассчитывается по следующей формуле: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= 2 </w:t>
            </w:r>
            <w:proofErr w:type="spellStart"/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V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+ V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+ 2 </w:t>
            </w:r>
            <w:proofErr w:type="spellStart"/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V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- показатель риска;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- количество вступивших в законную силу за два календарных года, предшествующих году, в котором принимается решение об отнесении  объекта контроля к 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      </w:r>
          </w:p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V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ативных правонарушениях, вынесенных по протоколам об административных правонарушениях, составленных контрольным органом.</w:t>
            </w:r>
          </w:p>
        </w:tc>
      </w:tr>
      <w:tr w:rsidR="000573DE" w:rsidRPr="000573DE" w:rsidTr="007D7DBB">
        <w:tc>
          <w:tcPr>
            <w:tcW w:w="1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 подлежащих исполнению 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2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  <w:tc>
          <w:tcPr>
            <w:tcW w:w="1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12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73DE" w:rsidRPr="000573DE" w:rsidTr="007D7DBB">
        <w:tc>
          <w:tcPr>
            <w:tcW w:w="1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 подлежащих </w:t>
            </w: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исполнению (соблюдению) контролируемыми лицами при осуществлении деятельности 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2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w="1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12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73DE" w:rsidRPr="000573DE" w:rsidRDefault="000573DE" w:rsidP="000573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73DE" w:rsidRPr="000573DE" w:rsidTr="007D7DBB">
        <w:tc>
          <w:tcPr>
            <w:tcW w:w="1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2"/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2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0F1F2"/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9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0F1F2"/>
            <w:hideMark/>
          </w:tcPr>
          <w:p w:rsidR="000573DE" w:rsidRPr="000573DE" w:rsidRDefault="000573DE" w:rsidP="000573DE">
            <w:pPr>
              <w:spacing w:before="150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риска.</w:t>
            </w:r>
          </w:p>
        </w:tc>
        <w:tc>
          <w:tcPr>
            <w:tcW w:w="12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0F1F2"/>
            <w:hideMark/>
          </w:tcPr>
          <w:p w:rsidR="000573DE" w:rsidRPr="000573DE" w:rsidRDefault="000573DE" w:rsidP="000573DE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57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554" w:type="dxa"/>
            <w:vAlign w:val="center"/>
            <w:hideMark/>
          </w:tcPr>
          <w:p w:rsidR="000573DE" w:rsidRPr="000573DE" w:rsidRDefault="000573DE" w:rsidP="00057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Align w:val="center"/>
            <w:hideMark/>
          </w:tcPr>
          <w:p w:rsidR="000573DE" w:rsidRPr="000573DE" w:rsidRDefault="000573DE" w:rsidP="00057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69CD" w:rsidRDefault="00AE69CD"/>
    <w:sectPr w:rsidR="00AE69CD" w:rsidSect="001A19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73DE"/>
    <w:rsid w:val="000573DE"/>
    <w:rsid w:val="001A19D0"/>
    <w:rsid w:val="007D7DBB"/>
    <w:rsid w:val="00AE69CD"/>
    <w:rsid w:val="00F8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D"/>
  </w:style>
  <w:style w:type="paragraph" w:styleId="1">
    <w:name w:val="heading 1"/>
    <w:basedOn w:val="a"/>
    <w:link w:val="10"/>
    <w:uiPriority w:val="9"/>
    <w:qFormat/>
    <w:rsid w:val="00057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73DE"/>
    <w:rPr>
      <w:color w:val="0000FF"/>
      <w:u w:val="single"/>
    </w:rPr>
  </w:style>
  <w:style w:type="paragraph" w:customStyle="1" w:styleId="articleinfo">
    <w:name w:val="articleinfo"/>
    <w:basedOn w:val="a"/>
    <w:rsid w:val="0005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0573DE"/>
  </w:style>
  <w:style w:type="paragraph" w:styleId="a4">
    <w:name w:val="Normal (Web)"/>
    <w:basedOn w:val="a"/>
    <w:uiPriority w:val="99"/>
    <w:unhideWhenUsed/>
    <w:rsid w:val="0005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73DE"/>
    <w:rPr>
      <w:i/>
      <w:iCs/>
    </w:rPr>
  </w:style>
  <w:style w:type="paragraph" w:styleId="a6">
    <w:name w:val="No Spacing"/>
    <w:uiPriority w:val="1"/>
    <w:qFormat/>
    <w:rsid w:val="00057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2021-09-14T11:40:00Z</dcterms:created>
  <dcterms:modified xsi:type="dcterms:W3CDTF">2021-09-14T11:59:00Z</dcterms:modified>
</cp:coreProperties>
</file>