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4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>РОССИЙСКАЯ ФЕДЕРАЦИЯ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4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>СОВЕТ ДЕПУТАТОВ  ЗАХАРОВСКОГО С/</w:t>
      </w:r>
      <w:proofErr w:type="gramStart"/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>П</w:t>
      </w:r>
      <w:proofErr w:type="gramEnd"/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4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>КЛЕТСКОГО МУНИЦИПАЛЬНОГО РАЙОНА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4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>ВОЛГОГРАДСКОЙ  ОБЛАСТИ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4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 xml:space="preserve">5  </w:t>
      </w:r>
      <w:proofErr w:type="gramStart"/>
      <w:r w:rsidRPr="00855077">
        <w:rPr>
          <w:rFonts w:ascii="Times New Roman" w:eastAsia="Times New Roman" w:hAnsi="Times New Roman" w:cs="Times New Roman"/>
          <w:sz w:val="24"/>
          <w:szCs w:val="144"/>
          <w:lang w:val="en-US" w:eastAsia="ru-RU"/>
        </w:rPr>
        <w:t>C</w:t>
      </w:r>
      <w:proofErr w:type="gramEnd"/>
      <w:r w:rsidRPr="00855077">
        <w:rPr>
          <w:rFonts w:ascii="Times New Roman" w:eastAsia="Times New Roman" w:hAnsi="Times New Roman" w:cs="Times New Roman"/>
          <w:sz w:val="24"/>
          <w:szCs w:val="144"/>
          <w:lang w:eastAsia="ru-RU"/>
        </w:rPr>
        <w:t>ОЗЫВА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50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8550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</w:t>
      </w:r>
      <w:proofErr w:type="gramEnd"/>
      <w:r w:rsidRPr="008550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44"/>
          <w:lang w:eastAsia="ru-RU"/>
        </w:rPr>
      </w:pPr>
      <w:r w:rsidRPr="00855077">
        <w:rPr>
          <w:rFonts w:ascii="Times New Roman" w:eastAsia="Times New Roman" w:hAnsi="Times New Roman" w:cs="Times New Roman"/>
          <w:bCs/>
          <w:sz w:val="24"/>
          <w:szCs w:val="144"/>
          <w:lang w:eastAsia="ru-RU"/>
        </w:rPr>
        <w:t>_____________________________________________________________________________</w:t>
      </w: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2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03.03.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</w:t>
      </w:r>
      <w:r w:rsidRPr="00855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82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25/59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5"/>
      </w:tblGrid>
      <w:tr w:rsidR="00855077" w:rsidRPr="00855077" w:rsidTr="00855077"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077" w:rsidRPr="00855077" w:rsidRDefault="00855077" w:rsidP="00855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отчете главы Захаровского </w:t>
            </w:r>
            <w:proofErr w:type="gramStart"/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55077" w:rsidRPr="00855077" w:rsidRDefault="00855077" w:rsidP="00855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о проделанной работе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55077" w:rsidRPr="00855077" w:rsidRDefault="00855077" w:rsidP="00855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55077" w:rsidRPr="00855077" w:rsidRDefault="00855077" w:rsidP="00855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077" w:rsidRPr="00855077" w:rsidRDefault="00855077" w:rsidP="008550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</w:t>
            </w:r>
            <w:proofErr w:type="gramStart"/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исполнение полномочий, предусмотренных Уставом поселения по обеспечению деятельности органа местного самоуправления.</w:t>
            </w:r>
            <w:r w:rsidRPr="008550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</w:rPr>
              <w:t> </w:t>
            </w:r>
          </w:p>
        </w:tc>
      </w:tr>
    </w:tbl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55077" w:rsidRPr="00855077" w:rsidTr="00855077">
        <w:trPr>
          <w:trHeight w:val="294"/>
        </w:trPr>
        <w:tc>
          <w:tcPr>
            <w:tcW w:w="9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077" w:rsidRPr="00855077" w:rsidRDefault="00855077" w:rsidP="0085507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Признать работу администрации и главы Захаровского сельского поселени</w:t>
      </w:r>
      <w:proofErr w:type="gramStart"/>
      <w:r w:rsidRPr="0085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5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Е.А. Кийков</w:t>
      </w: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77" w:rsidRPr="00855077" w:rsidRDefault="00855077" w:rsidP="0085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2B" w:rsidRDefault="00580B2B"/>
    <w:p w:rsidR="00467D01" w:rsidRDefault="00467D01"/>
    <w:p w:rsidR="00467D01" w:rsidRDefault="00467D01"/>
    <w:p w:rsidR="00467D01" w:rsidRDefault="00467D01"/>
    <w:p w:rsidR="00467D01" w:rsidRDefault="00467D01"/>
    <w:p w:rsidR="00467D01" w:rsidRDefault="00467D01"/>
    <w:p w:rsidR="00467D01" w:rsidRPr="00B362E4" w:rsidRDefault="00467D01" w:rsidP="00FD46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Отчет</w:t>
      </w:r>
    </w:p>
    <w:p w:rsidR="00467D01" w:rsidRPr="00B362E4" w:rsidRDefault="00467D01" w:rsidP="00FD46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lang w:eastAsia="ru-RU"/>
        </w:rPr>
        <w:t>о проделанной работе администрацией Захаровского сельского поселения</w:t>
      </w:r>
      <w:r w:rsidR="00FD46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B362E4">
        <w:rPr>
          <w:rFonts w:ascii="Arial" w:eastAsia="Times New Roman" w:hAnsi="Arial" w:cs="Arial"/>
          <w:b/>
          <w:sz w:val="28"/>
          <w:szCs w:val="28"/>
          <w:lang w:eastAsia="ru-RU"/>
        </w:rPr>
        <w:t>за 2022 год.</w:t>
      </w:r>
    </w:p>
    <w:p w:rsidR="00467D01" w:rsidRPr="00B362E4" w:rsidRDefault="00467D01" w:rsidP="00FD46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7D01" w:rsidRPr="00B362E4" w:rsidRDefault="00B362E4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467D01"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Захаровское сельское поселение занимает около 30 тыс. га. Земли </w:t>
      </w:r>
      <w:r w:rsidR="00FD46C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7D01" w:rsidRPr="00B362E4">
        <w:rPr>
          <w:rFonts w:ascii="Arial" w:eastAsia="Times New Roman" w:hAnsi="Arial" w:cs="Arial"/>
          <w:sz w:val="28"/>
          <w:szCs w:val="28"/>
          <w:lang w:eastAsia="ru-RU"/>
        </w:rPr>
        <w:t>сельскохозяйственного назначения(1/1070 доля) у 589 пайщиков обрабатывает ООО «Захаровское».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Население Захаровского сельского поселения составляет 1465 человек зарегистрированных (на 52 меньше по сравнению с 2021г): из них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детей до 18 лет – 308 (меньше на 29)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трудоспособного населения – 799(на 29)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Многодетных семей (23)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Семьи, воспитывающие детей-инвалидов 6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пенсионеров – 358(на 6 больше)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1 труженик  тыла: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Синичкина Христина Федоровна является старейшим жителем  поселения, ей 94г.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Без регистрации на территории Захаровского сельского поселения проживает 29 человек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Всего на территории Захаровского сельского поселения 532 домовладения из них 112 не жилых (за 2022 год пустых домовладений стало на 2 меньше).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Согласно статистическим данным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ежегодно, стабильно, идет уменьшение поголовья в  ЛПХ, так в 2022 году КРС (уменьшилось на 75г.) и составило- 663 головы, МРС – (стабильно) -270г., свиней-308г. (меньше на 32 г.)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Оказанных услуг населению  по  выдаче  выписок и справок -805 (на 72 меньше), для юр. лиц   и  организаций – 228 (на 17 больше).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За 2022 год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Выбыло- 30 человек (на 2 меньше),  прибыло  -19 (на 2 меньше), в том числе  родилось 8  детей (на 5 больше), умерло 11 человека (на 23 меньше).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Администрацией Захаровского сельского поселения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было издано:135 постановлений (на 35 больше чем за прошлый год), 39 рабочих распоряжений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(на 11 больше) 52 распоряжение по личному составу (на 1 больше).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за 2022 год разработано и принято 97 нормативно-правовых актов (на 42 больше), произведено 21 нотариальное действия (на 20 меньше), Советом депутатов Захаровского сельского поселения в 2022 году было вынесено 37 решений,4 нормативно-правовых акта.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Архив за 2020 год: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в количестве -23 единиц хранения (на 2 меньше).                      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На хранение в районный архив сдали дела за 2017 год в количестве - 30 единиц хранения.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Постоянно  выносилась и размещалась актуальная информация о проделанной работе сотрудниками администрации  на сайте поселения.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Прокуратуре Клетского района были представлены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следующие документы: информация- 11 раз (на 12 раз меньше), ответы на представление-28 раз (на 4 больше), на  протесты- 6 раз (на 4 меньше), проведено - 5 проверок, исполнено 5 судебных иска на сумму 20 т.500 руб.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В 2022 году на территории поселения совершено 6 краж: 4 раскрыто, 2 расследуется. Изнасилований, убийств и драк на бытовой почве - не было.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Обстановка на территории поселения остается стабильной.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Административной  комиссией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составлено 20 протоколов, рассмотрено дел об административном правонарушении - 20;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-вынесено решений по данный делам: предупреждение - 7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;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штраф - 13;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- применено штрафов на общую сумму – 30 000руб.;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- исполнено штрафов на общую сумму – 30 000руб.;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-  от членов комиссии –   9 протоколов, от государственного казенного учреждения волгоградской области « 6 отряд противопожарной службы» (ГКУ ВО 6 ОТРЯД ПС – 11 протоколов)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Протоколы были составлены на лиц, складирующих  ТКО за пределами своего участка, а также  на лиц осуществляющих  безнадзорный выпас мелкого рогатого скота, и по содержанию домашних животных.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Работа с Серафимовичским райвоенкоматом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ведется постоянно. На воинском учете состоит 339 человек,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в 2022 году поставили на воинский учет-6 человек</w:t>
      </w:r>
      <w:proofErr w:type="gramEnd"/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Призвано- 3 человека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Пришло – 14 человек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Направлено в мобилизационный резерв 2 чел.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Призвано в рамках мобилизации 18 чел.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Ведется постоянная работа по поиску резервистов, и добровольцев для СВО.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lastRenderedPageBreak/>
        <w:t xml:space="preserve">Ведется постоянная работа с программами, а именно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ЕРВК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ГИС ТОР КНД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ГИС ГМП</w:t>
      </w: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ГИС ЖКХ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ЕЛК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НСУД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ФИАС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ГАСУ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РИАС и др.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Жилищная комиссия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За прошедший год принято и поставлено на учет в качестве нуждающихся в улучшении жилищных условиях 1 семья в количестве 10 чел.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Уличное освещение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За 2022 год проведена работа по модернизации, установке монтажа уличного освещения в сельском поселении по хуторам; х Захаров пер Садовый, х. Гвардейский, х. Евстратовский,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Ведется работа по подаче заявок модернизации, установке монтажа уличного освещения в сельском поселении по хуторам; х. Захаров по </w:t>
      </w:r>
      <w:proofErr w:type="gramStart"/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ул</w:t>
      </w:r>
      <w:proofErr w:type="gramEnd"/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Набережная, х. Селиванов по пер  Северный, ул. Прибрежной, х. Евстратовский ул Центральная.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Пожарная агитация по безопасности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Вручение памяток под роспись персонально каждому жителю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Ведение аудио агитации </w:t>
      </w:r>
      <w:proofErr w:type="gramStart"/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через</w:t>
      </w:r>
      <w:proofErr w:type="gramEnd"/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речевой оповещатель.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На территории поселения находятся 21 жилой дом, имеющий печное отопление, с  владельцами данных домов ведется адресная работа по соблюдению пожарной безопасности.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За 2022 год на территории Захаровского сельского поселения произошло 4 возгорания, оперативно и своевременно </w:t>
      </w:r>
      <w:proofErr w:type="gramStart"/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локализованных</w:t>
      </w:r>
      <w:proofErr w:type="gramEnd"/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Постановка на бесхоз и принятие в собственность 2х бесхозяйных объектов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      Организация досуга осуществляется 3-я сельскими клубами: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х. Захаров руководитель Якупова Н.В.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х. Евстратовский Серединцева Л.Г. и Мининой Е. Г.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х. Гвардейский  Бекбулатова С. Ю.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Руководителями данных клубов ведется работа по привлечению жителей поселений к активному участию по проведению концертов, праздников и других мероприятий. За 20220год проведено 70 мероприятий  всего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из них 43 детских. Созданы постоянные детские и взрослые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коллективы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участвуют в различных мероприятиях не только на территории поселения, но и активно участвуют в выездных праздничных мероприятиях, конкурсах и фестивалях.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Всего участвовали в 6 фестивалях(2 областных, 2 всероссийских, 2 районных.) Заняли первое место во всероссийском Патриотическом фестивале г.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Волжский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 Составление и согласование ПАСПОРТОВ БЕЗОПАСНОСТИ КЛУБОВ,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>Проводится работа по предупреждению развития терроризма и экстремизма на территории Захаровского сельского поселения, велась антинаркотическая работа с молодежью, за год  проведено 30 мероприятий, участвовало 403 человека, раздавались памятки и листовки; нет наркотикам, курению сигарет и вейпов.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Число посещений библиотеки для получения библиотечно - информационных услуг 215 человек,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число посещений молодежи «клуба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очумелые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ручки» от 14-30 лет - 1179,  выдано (просмотрено)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467D01" w:rsidRPr="00B362E4" w:rsidRDefault="00467D01" w:rsidP="00FD46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Проводились работы по благоустройству на территории Захаровского сельского поселения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1.Уборка сорной травы на гражданском кладбище и подвоз к нему песка.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2.Обрезка деревьев.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3.Уборка сорной травы в населенных пунктах.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4.Обкос обочин.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5.Силами сотрудников администрации  дважды в год (весна-осень) проводились работы по благоустройству братских могил и воинских мемориалов  в хуторах сельского поселения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6.Отремонтирована остановка общественного транспорта «х. Захаров»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7. Была подана заявка на демонтаж старой  и установку новой остановки общественного транспорта перекресток «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Казачий-Гвардейский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8. ведется работа с жителями и организациями нашего поселения по вопросу до газификации 2 х объектов (зданий магазинов), 1 жилой дом, проведена работа на 50%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газификации жилого дома в х. Селиванов, 1 здание магазина.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9. установлена ограда на половине  гражданском кладбище х. Малая Осиновка.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10.Дважды (весна, осень) проводилась противопожарная опашка хуторов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11. Проверены на работоспособность пожарные гидранты в хуторах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12. По предписанию  антитеррористической комиссии Клетского района была ликвидирована дико растущая конопля и мак.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Планируем в 2023 году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1.Строительство гаражей под трактор и бочку предназначенных для тушения пожаров.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2.Демонтировать и заменить оставшиеся 2 стороны забора на общественном кладбище хутора М-Осиновка, в связи с этим планируется приобретение достающий  материал.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3.Замена пожарного гидранта х. Евстратовский, ул. Центральная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4.Установка оповещения о чрезвычайных ситуациях в СК и СДК хуторов расположенных на территории поселения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5.Установка пожарных дверей в СДК х. Захаров.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6. Строительство  контейнерных площадок для накопления ТКО в двух хуторах: Казачий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Селиванов.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7.Подсыпкаи ремонт дорог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щебеночным покрытием.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8.Работа по программе  энергосбережение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путем установки реле времени.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9. С апреля по май  планируется провести месячник по благоустройству, приведение хуторов в порядок после зимнего периода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10. Очистка паводковых сточных труб по хуторам расположенным на территории нашего поселения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11. Обпил и омоложение  деревьев по необходимости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>12.Ремонт пешеходного моста через реку Куртлак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13.Планируем и в дальнейшем проводить   работу по выявлению не санкционированных  свалок вблизи домовладений расположенных на территории нашего поселения.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И другие работы</w:t>
      </w:r>
    </w:p>
    <w:p w:rsidR="00467D01" w:rsidRPr="00B362E4" w:rsidRDefault="00467D01" w:rsidP="00FD46C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Пояснительная записка к отчету об исполнении бюджета Захаровского сельского поселения за   2022 года.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Доходы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местный бюджет поступило 9 796 279 рублей при плане 8 444 448 </w:t>
      </w:r>
      <w:proofErr w:type="spell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руб</w:t>
      </w:r>
      <w:proofErr w:type="spell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Собственные доходы местного бюджета за   2022 года составили  4 532 513 руб. при плане 2977170 руб.  Безвозмездные перечисления составили  3 911 935  рублей: 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ab/>
        <w:t>Налог на доходы физических лиц поступил за   2022 г. в местный бюджет в сумме 2 642 797руб.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2021 г- 2 204 495 руб.) при плане 2 000 000 руб.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lastRenderedPageBreak/>
        <w:tab/>
        <w:t xml:space="preserve"> За   2022 год в местный бюджет поступило  773 854 рублей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2021 г – 793 199 </w:t>
      </w:r>
      <w:proofErr w:type="spell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руб</w:t>
      </w:r>
      <w:proofErr w:type="spell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) земельного налога  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       Налог на имущество физических лиц  поступил в сумме 41306 рубль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   Доходы от уплаты акцизов за   2022 года  поступил в сумме  2 382 170 рублей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Доходы, получаемые  в виде арендной платы составили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20 100 рублей.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Административные штрафы, установленные законами субъектов РФ об административных правонарушениях в сумме 22 000 рублей.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Госпошлина поступила в сумме 2 000 рублей.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</w:p>
    <w:p w:rsidR="00467D01" w:rsidRPr="00B362E4" w:rsidRDefault="00467D01" w:rsidP="00FD46C1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362E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Расходы. </w:t>
      </w: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Общая сумма расходов местного бюджета в отчетном периоде составила 8 774 108 рублей  </w:t>
      </w:r>
    </w:p>
    <w:p w:rsidR="00467D01" w:rsidRPr="00B362E4" w:rsidRDefault="00467D01" w:rsidP="00FD46C1">
      <w:pPr>
        <w:spacing w:after="0" w:line="240" w:lineRule="auto"/>
        <w:ind w:left="705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На услуги связи было потрачено 53 433 рубля, на оплату коммунальных услуг в сумме 157186 рублей, на оплату уличного освещения в сумме 496138 рублей, также были приобретены фонари на сумму 9114 рублей, на содержание объектов и основных средств расходы составили 399389 рублей (пожарная сигнализация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проверка дымоходов, приобретение гидрантов, перезарядка огнетушителей , приобретение к ним </w:t>
      </w:r>
      <w:proofErr w:type="spell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кранштейнов</w:t>
      </w:r>
      <w:proofErr w:type="spell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). 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В 2022 году был произведен ямочный ремонт дорог на сумму 1 400 021 рублей, посыпка дорог </w:t>
      </w:r>
      <w:proofErr w:type="spell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противогололедной</w:t>
      </w:r>
      <w:proofErr w:type="spell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смесью на сумму 49 964 рублей, Очистка дорог на сумму 32513 рублей, </w:t>
      </w:r>
      <w:proofErr w:type="spell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техинветаризация</w:t>
      </w:r>
      <w:proofErr w:type="spell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дорог на сумму 196 000 рублей, на содержание мест захоронения были направлены денежные средства на изготовление ограды  в сумме 33046 рублей, также приобретен стройматериал на сумму 21336  рублей для  изготовления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ограды в </w:t>
      </w:r>
      <w:proofErr w:type="spell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х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>.М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>алая</w:t>
      </w:r>
      <w:proofErr w:type="spell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Осиновка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По программе Энергосбережение  расходы составили 26 000 рублей (были приобретены пластиковые окна на администрацию)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>Программа Развитие современной городской среды расходы составили 198 135 рублей ( были приобретены снегоуборщик, бензопила</w:t>
      </w:r>
      <w:proofErr w:type="gramStart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мотоблок, прицепное устройство и хозяйственный инвентарь. )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7D01" w:rsidRPr="00B362E4" w:rsidRDefault="00467D01" w:rsidP="00FD46C1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62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sectPr w:rsidR="00467D01" w:rsidRPr="00B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CC"/>
    <w:rsid w:val="00467D01"/>
    <w:rsid w:val="00580B2B"/>
    <w:rsid w:val="00855077"/>
    <w:rsid w:val="00882151"/>
    <w:rsid w:val="00B362E4"/>
    <w:rsid w:val="00F94DCC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2023-03-03T08:45:00Z</cp:lastPrinted>
  <dcterms:created xsi:type="dcterms:W3CDTF">2023-02-13T08:13:00Z</dcterms:created>
  <dcterms:modified xsi:type="dcterms:W3CDTF">2023-03-10T06:07:00Z</dcterms:modified>
</cp:coreProperties>
</file>