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5E" w:rsidRDefault="0061313A">
      <w:pPr>
        <w:pStyle w:val="af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 ЗАХАРОВСКОГО</w:t>
      </w:r>
    </w:p>
    <w:p w:rsidR="00843A5E" w:rsidRDefault="0061313A">
      <w:pPr>
        <w:pStyle w:val="af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843A5E" w:rsidRDefault="0061313A">
      <w:pPr>
        <w:pStyle w:val="af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КЛЕТСКОГО  МУНИЦИПАЛЬНОГО  РАЙОНА</w:t>
      </w:r>
    </w:p>
    <w:p w:rsidR="00843A5E" w:rsidRDefault="0061313A">
      <w:pPr>
        <w:pStyle w:val="af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843A5E" w:rsidRDefault="0061313A">
      <w:pPr>
        <w:pStyle w:val="af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843A5E" w:rsidRDefault="0061313A">
      <w:pPr>
        <w:suppressAutoHyphens w:val="0"/>
        <w:spacing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  11.09.2024 г. №76</w:t>
      </w:r>
    </w:p>
    <w:p w:rsidR="00843A5E" w:rsidRDefault="0061313A">
      <w:pPr>
        <w:tabs>
          <w:tab w:val="left" w:pos="0"/>
          <w:tab w:val="left" w:pos="9360"/>
        </w:tabs>
        <w:suppressAutoHyphens w:val="0"/>
        <w:spacing w:after="0" w:line="240" w:lineRule="auto"/>
        <w:ind w:firstLine="68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Захаровского сельского поселения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от 20 июня 2022г. №75 «Об утверждении администр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тивного регламента предоставления муниципальной услуги «Предоставл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ние гражданам для собственных нужд земельных участков, на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ходящихся в муниципальной собственности Захаровского сельского поселения Клетск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го муниципального района Волгоградской области, расположенных на те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ритории Захаровского сельского поселения Клетского муниципального ра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она Волгоградской области, для размещен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ия гаражей» (в редакции от 12.08.2022 №103 от 01.06.2023 №33) </w:t>
      </w:r>
    </w:p>
    <w:p w:rsidR="00843A5E" w:rsidRDefault="00843A5E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A5E" w:rsidRDefault="0061313A">
      <w:pPr>
        <w:suppressAutoHyphens w:val="0"/>
        <w:spacing w:after="0" w:line="240" w:lineRule="auto"/>
        <w:ind w:firstLine="680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"Об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щих принципах организации местного самоуправления в Российской Федерации", от 27.07.2010 № 210-ФЗ "Об организации предоставл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ения государственных 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ниципальных услуг",  от 24.07.2023 № 338-ФЗ "О гаражных объединениях и о вн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сении изменений в отдельные законодательные акты Российской Федерации",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становлением Правительства Российской Федерации Российской Федерации от 02.02.202</w:t>
      </w:r>
      <w:r>
        <w:rPr>
          <w:rFonts w:ascii="Arial" w:eastAsia="Times New Roman" w:hAnsi="Arial" w:cs="Arial"/>
          <w:sz w:val="24"/>
          <w:szCs w:val="24"/>
          <w:lang w:eastAsia="ru-RU"/>
        </w:rPr>
        <w:t>4 № 102 "О внесении изменений в постановление Правительства Ро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сийской Федерации от 9 апреля 2022 г. № 629" и </w:t>
      </w:r>
      <w:r>
        <w:rPr>
          <w:rFonts w:ascii="Arial" w:eastAsia="Times New Roman" w:hAnsi="Arial" w:cs="Arial"/>
          <w:spacing w:val="-3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Уставом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Захаровского сельского поселения Клетского муниципального района Волгоградской области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страция Захаровского сельского поселения Клетского муниципального района Волгоградской области</w:t>
      </w:r>
    </w:p>
    <w:p w:rsidR="00843A5E" w:rsidRDefault="0061313A">
      <w:pPr>
        <w:suppressAutoHyphens w:val="0"/>
        <w:spacing w:after="0" w:line="240" w:lineRule="auto"/>
        <w:ind w:firstLine="680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ПОСТАНОВЛЯЕТ: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административный регламент предоставления муниципальной услуги "Предоставление гражданам для собственных нужд земельных участков</w:t>
      </w:r>
      <w:r>
        <w:rPr>
          <w:rFonts w:ascii="Arial" w:eastAsia="Times New Roman" w:hAnsi="Arial" w:cs="Arial"/>
          <w:sz w:val="24"/>
          <w:szCs w:val="24"/>
          <w:lang w:eastAsia="ru-RU"/>
        </w:rPr>
        <w:t>, находящихся в муниципальной собственности Захаровского сельского поселения Клетского муниципального района Волгоградской области, расположенных на территории Захаровского сельского поселения Клетского муниципального района Волгоградской области,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для разм</w:t>
      </w:r>
      <w:r>
        <w:rPr>
          <w:rFonts w:ascii="Arial" w:eastAsia="Times New Roman" w:hAnsi="Arial" w:cs="Arial"/>
          <w:sz w:val="24"/>
          <w:szCs w:val="24"/>
          <w:lang w:eastAsia="ru-RU"/>
        </w:rPr>
        <w:t>ещения гаражей", утвержденный постановлен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ем администрации Захаровского сельского поселения от 20 июня 2022 г. № 75 «Об утверждении административного регламента предоставления муниципальной услуги «Предоставление гражданам для собственных нужд земельных уч</w:t>
      </w:r>
      <w:r>
        <w:rPr>
          <w:rFonts w:ascii="Arial" w:eastAsia="Times New Roman" w:hAnsi="Arial" w:cs="Arial"/>
          <w:sz w:val="24"/>
          <w:szCs w:val="24"/>
          <w:lang w:eastAsia="ru-RU"/>
        </w:rPr>
        <w:t>астков, находящихся в муниципальной собственности Захаровского сельского поселения Клетского муниципального района Волгоградской области, расположенных на территории Захаровского сельского поселения Клетского муниципального района Волгоградской области, дл</w:t>
      </w:r>
      <w:r>
        <w:rPr>
          <w:rFonts w:ascii="Arial" w:eastAsia="Times New Roman" w:hAnsi="Arial" w:cs="Arial"/>
          <w:sz w:val="24"/>
          <w:szCs w:val="24"/>
          <w:lang w:eastAsia="ru-RU"/>
        </w:rPr>
        <w:t>я размещения гаражей» (в редакции от 12.08.2022 №103 от 01.06.2023 №33) (далее-Регламент), следующие изменения: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пункте 1.2.1. Регламента слова «по иным основаниям (подпункт 1 пункта 2 статьи 3.7 Федерального закона от 25.10.2001 № 137-ФЗ "О введении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действие Земельного кодекса Российской Федерации" (далее – Федеральный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 № 137-ФЗ)»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заменить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словами «по иным основаниям, в том числе предусмо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ренным статьей 3.7 Федерального закона от 25.10.2001 № 137-ФЗ "О введении в действие Земельного кодекса Ро</w:t>
      </w:r>
      <w:r>
        <w:rPr>
          <w:rFonts w:ascii="Arial" w:eastAsia="Times New Roman" w:hAnsi="Arial" w:cs="Arial"/>
          <w:sz w:val="24"/>
          <w:szCs w:val="24"/>
          <w:lang w:eastAsia="ru-RU"/>
        </w:rPr>
        <w:t>ссийской Федерации" (далее – Федеральный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кон № 137-ФЗ) (подпункт 1 пункта 2 статьи 3.7 Федерального закона № 137-ФЗ)»;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1.2. В пункте </w:t>
      </w:r>
      <w:r>
        <w:rPr>
          <w:rFonts w:ascii="Arial" w:eastAsia="Times New Roman" w:hAnsi="Arial" w:cs="Arial"/>
          <w:sz w:val="24"/>
          <w:szCs w:val="24"/>
        </w:rPr>
        <w:t xml:space="preserve">1.2.2.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после слов «по иным основаниям» допо</w:t>
      </w:r>
      <w:r>
        <w:rPr>
          <w:rFonts w:ascii="Arial" w:eastAsia="Calibri" w:hAnsi="Arial" w:cs="Arial"/>
          <w:sz w:val="24"/>
          <w:szCs w:val="24"/>
          <w:lang w:eastAsia="ru-RU"/>
        </w:rPr>
        <w:t>л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нить словами «, в том числе предусмотренным </w:t>
      </w:r>
      <w:hyperlink r:id="rId5">
        <w:r>
          <w:rPr>
            <w:rFonts w:ascii="Arial" w:eastAsia="Calibri" w:hAnsi="Arial" w:cs="Arial"/>
            <w:sz w:val="24"/>
            <w:szCs w:val="24"/>
            <w:lang w:eastAsia="ru-RU"/>
          </w:rPr>
          <w:t>статьей 3.7</w:t>
        </w:r>
      </w:hyperlink>
      <w:r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№ 137-ФЗ,»;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1.3. Пункт 1.2.6.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после слов «гаражному кооперативу» допо</w:t>
      </w:r>
      <w:r>
        <w:rPr>
          <w:rFonts w:ascii="Arial" w:eastAsia="Calibri" w:hAnsi="Arial" w:cs="Arial"/>
          <w:sz w:val="24"/>
          <w:szCs w:val="24"/>
          <w:lang w:eastAsia="ru-RU"/>
        </w:rPr>
        <w:t>л</w:t>
      </w:r>
      <w:r>
        <w:rPr>
          <w:rFonts w:ascii="Arial" w:eastAsia="Calibri" w:hAnsi="Arial" w:cs="Arial"/>
          <w:sz w:val="24"/>
          <w:szCs w:val="24"/>
          <w:lang w:eastAsia="ru-RU"/>
        </w:rPr>
        <w:t>нить словами «или иной некоммерческой организации», после слов «гаражного кооп</w:t>
      </w:r>
      <w:r>
        <w:rPr>
          <w:rFonts w:ascii="Arial" w:eastAsia="Calibri" w:hAnsi="Arial" w:cs="Arial"/>
          <w:sz w:val="24"/>
          <w:szCs w:val="24"/>
          <w:lang w:eastAsia="ru-RU"/>
        </w:rPr>
        <w:t>ератива» дополнить словами «или иной некоммерческой организации»;</w:t>
      </w:r>
    </w:p>
    <w:p w:rsidR="00843A5E" w:rsidRDefault="0061313A">
      <w:pPr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1.4. Дополнить пунктом </w:t>
      </w:r>
      <w:r>
        <w:rPr>
          <w:rFonts w:ascii="Arial" w:eastAsia="Times New Roman" w:hAnsi="Arial" w:cs="Arial"/>
          <w:sz w:val="24"/>
          <w:szCs w:val="24"/>
          <w:lang w:eastAsia="ru-RU"/>
        </w:rPr>
        <w:t>2.4.5. Регламента:</w:t>
      </w:r>
    </w:p>
    <w:p w:rsidR="00843A5E" w:rsidRDefault="0061313A">
      <w:pPr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2.4.5.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</w:t>
      </w:r>
      <w:r>
        <w:rPr>
          <w:rFonts w:ascii="Arial" w:eastAsia="Calibri" w:hAnsi="Arial" w:cs="Arial"/>
          <w:sz w:val="24"/>
          <w:szCs w:val="24"/>
          <w:lang w:eastAsia="ru-RU"/>
        </w:rPr>
        <w:t>2022 – 2024 годах, а также о случаях установления льготной арендной платы по договорам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аренды земельных участков, находящихся в федеральной собственности, и размере такой платы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сроки предоставления муниципальной услуги, установленные пунктами 2.4.2 и 2.4.4 настоящего административного регламента, в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2022 – 2024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годах составляют: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принятия и направления заявителю решения о предварительном согл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совании (об отказе в предварительном согласовании) представления земельного участка – не более 14 календарных дней;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для рассмотрения заявления о предоставлении земельного участка и направления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заявителю решения о предоставлении (об отказе в предоставлении) земельного участка в собственность бесплатно или проекта договора аренды з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мельного участка в трех экземплярах (решения об отказе в предоставлении з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мельного участка в аренду) – не более 14 к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алендарных дней.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Административные процедуры, предусмотренные разделом 3 настоящего административного регламента, осуществляются в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2022 – 2024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годах в сокраще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ные сроки, обеспечивающие соблюдение установленных в настоящем пункте ср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ков предоставления муници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пальной услуги.»;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>1.5. В пункте 2.5. Регламента: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- абзац шестнадцатый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09.04.2022 № 629 «Об особенностях регулирования земельных отношений в Российской Фед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рации в </w:t>
      </w:r>
      <w:r>
        <w:rPr>
          <w:rFonts w:ascii="Arial" w:eastAsia="Calibri" w:hAnsi="Arial" w:cs="Arial"/>
          <w:sz w:val="24"/>
          <w:szCs w:val="24"/>
          <w:lang w:eastAsia="ru-RU"/>
        </w:rPr>
        <w:t>2022 – 20</w:t>
      </w:r>
      <w:r>
        <w:rPr>
          <w:rFonts w:ascii="Arial" w:eastAsia="Calibri" w:hAnsi="Arial" w:cs="Arial"/>
          <w:sz w:val="24"/>
          <w:szCs w:val="24"/>
          <w:lang w:eastAsia="ru-RU"/>
        </w:rPr>
        <w:t>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rFonts w:ascii="Arial" w:eastAsia="Times New Roman" w:hAnsi="Arial" w:cs="Arial"/>
          <w:sz w:val="24"/>
          <w:szCs w:val="24"/>
          <w:lang w:eastAsia="ru-RU"/>
        </w:rPr>
        <w:t>» (Официальный интернет-портал правовой информации http://www.pravo.gov.ru, 12.04.2022, «</w:t>
      </w:r>
      <w:r>
        <w:rPr>
          <w:rFonts w:ascii="Arial" w:eastAsia="Times New Roman" w:hAnsi="Arial" w:cs="Arial"/>
          <w:sz w:val="24"/>
          <w:szCs w:val="24"/>
          <w:lang w:eastAsia="ru-RU"/>
        </w:rPr>
        <w:t>Собрание законодательства Российской Федерации», 18.04.2022, № 16, ст. 2671);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>»;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- дополнить новым, девятнадцатым абзацем следующего содержания:</w:t>
      </w:r>
    </w:p>
    <w:p w:rsidR="00843A5E" w:rsidRDefault="0061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«приказ Федеральной службы государственной регистрации, кадастра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картографии от 19.04.2022 № П/0148 «Об утверж</w:t>
      </w:r>
      <w:r>
        <w:rPr>
          <w:rFonts w:ascii="Arial" w:eastAsia="Times New Roman" w:hAnsi="Arial" w:cs="Arial"/>
          <w:sz w:val="24"/>
          <w:szCs w:val="24"/>
          <w:lang w:eastAsia="ru-RU"/>
        </w:rPr>
        <w:t>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мельных участков на кадастровом плане территории при подготовке схемы ра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положе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земельного участка или земельных участков на кадастровом плане территории в форме электронного документа, формы схемы расположения з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мельного участка или земельных участков на кадастровом плане территории, по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готовка которой осуществляется в форме доку</w:t>
      </w:r>
      <w:r>
        <w:rPr>
          <w:rFonts w:ascii="Arial" w:eastAsia="Times New Roman" w:hAnsi="Arial" w:cs="Arial"/>
          <w:sz w:val="24"/>
          <w:szCs w:val="24"/>
          <w:lang w:eastAsia="ru-RU"/>
        </w:rPr>
        <w:t>мента на бумажном носителе» (Официальный интернет-портал правовой информации http://pravo.gov.ru, 02.06.2022)</w:t>
      </w:r>
      <w:r>
        <w:rPr>
          <w:rFonts w:ascii="Arial" w:eastAsia="Calibri" w:hAnsi="Arial" w:cs="Arial"/>
          <w:sz w:val="24"/>
          <w:szCs w:val="24"/>
          <w:lang w:eastAsia="ru-RU"/>
        </w:rPr>
        <w:t>;»;</w:t>
      </w:r>
    </w:p>
    <w:p w:rsidR="00843A5E" w:rsidRDefault="0061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- абзац девятнадцатый считать абзацем двадцатым.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1.6. В пункте 2.6.1.2. Регламента: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в подпункте 1 подпункт «б» изложить в следующей редакции: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</w:rPr>
        <w:t>б) схему расположения земельного участка на кадастровом плане терр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тории (далее - схема расположения земельного участка) в случае, если испраш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lastRenderedPageBreak/>
        <w:t>ваемый земельный участок предстоит образовать и отсутствует утвержденный проект межевания территории, предусмат</w:t>
      </w:r>
      <w:r>
        <w:rPr>
          <w:rFonts w:ascii="Arial" w:eastAsia="Times New Roman" w:hAnsi="Arial" w:cs="Arial"/>
          <w:sz w:val="24"/>
          <w:szCs w:val="24"/>
        </w:rPr>
        <w:t>ривающий образование такого земел</w:t>
      </w:r>
      <w:r>
        <w:rPr>
          <w:rFonts w:ascii="Arial" w:eastAsia="Times New Roman" w:hAnsi="Arial" w:cs="Arial"/>
          <w:sz w:val="24"/>
          <w:szCs w:val="24"/>
        </w:rPr>
        <w:t>ь</w:t>
      </w:r>
      <w:r>
        <w:rPr>
          <w:rFonts w:ascii="Arial" w:eastAsia="Times New Roman" w:hAnsi="Arial" w:cs="Arial"/>
          <w:sz w:val="24"/>
          <w:szCs w:val="24"/>
        </w:rPr>
        <w:t>ного участка, либо утвержденный проект межевания территории не предусматр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вает образование такого земельного участка.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в подпункте 2 подпункт «в» изложить в следующей редакции: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</w:rPr>
        <w:t xml:space="preserve">в) схему расположения земельного участка </w:t>
      </w:r>
      <w:r>
        <w:rPr>
          <w:rFonts w:ascii="Arial" w:eastAsia="Times New Roman" w:hAnsi="Arial" w:cs="Arial"/>
          <w:sz w:val="24"/>
          <w:szCs w:val="24"/>
        </w:rPr>
        <w:t>(в случае, если испрашива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>мый земельный участок предстоит образовать 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</w:t>
      </w:r>
      <w:r>
        <w:rPr>
          <w:rFonts w:ascii="Arial" w:eastAsia="Times New Roman" w:hAnsi="Arial" w:cs="Arial"/>
          <w:sz w:val="24"/>
          <w:szCs w:val="24"/>
        </w:rPr>
        <w:t>ие такого земельного участка);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в подпункте 6: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абзаце первом </w:t>
      </w:r>
      <w:r>
        <w:rPr>
          <w:rFonts w:ascii="Arial" w:eastAsia="Calibri" w:hAnsi="Arial" w:cs="Arial"/>
          <w:sz w:val="24"/>
          <w:szCs w:val="24"/>
          <w:lang w:eastAsia="ru-RU"/>
        </w:rPr>
        <w:t>слова «подпунктами 1 и 2» заменить словами «подпункт</w:t>
      </w:r>
      <w:r>
        <w:rPr>
          <w:rFonts w:ascii="Arial" w:eastAsia="Calibri" w:hAnsi="Arial" w:cs="Arial"/>
          <w:sz w:val="24"/>
          <w:szCs w:val="24"/>
          <w:lang w:eastAsia="ru-RU"/>
        </w:rPr>
        <w:t>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ми </w:t>
      </w:r>
      <w:r>
        <w:rPr>
          <w:rFonts w:ascii="Arial" w:eastAsia="Times New Roman" w:hAnsi="Arial" w:cs="Arial"/>
          <w:sz w:val="24"/>
          <w:szCs w:val="24"/>
        </w:rPr>
        <w:t>1 – 5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в абзаце третьем слова «</w:t>
      </w:r>
      <w:r>
        <w:rPr>
          <w:rFonts w:ascii="Arial" w:eastAsia="Times New Roman" w:hAnsi="Arial" w:cs="Arial"/>
          <w:sz w:val="24"/>
          <w:szCs w:val="24"/>
          <w:lang w:eastAsia="ru-RU"/>
        </w:rPr>
        <w:t>указанного в пункте 1.2.2</w:t>
      </w:r>
      <w:r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>
        <w:rPr>
          <w:rFonts w:ascii="Arial" w:eastAsia="Times New Roman" w:hAnsi="Arial" w:cs="Arial"/>
          <w:sz w:val="24"/>
          <w:szCs w:val="24"/>
          <w:lang w:eastAsia="ru-RU"/>
        </w:rPr>
        <w:t>ук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занного в </w:t>
      </w:r>
      <w:r>
        <w:rPr>
          <w:rFonts w:ascii="Arial" w:eastAsia="Times New Roman" w:hAnsi="Arial" w:cs="Arial"/>
          <w:sz w:val="24"/>
          <w:szCs w:val="24"/>
        </w:rPr>
        <w:t>пунктах 1.2.2, 1.2.4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1.7. В пункте </w:t>
      </w:r>
      <w:r>
        <w:rPr>
          <w:rFonts w:ascii="Arial" w:eastAsia="Times New Roman" w:hAnsi="Arial" w:cs="Arial"/>
          <w:sz w:val="24"/>
          <w:szCs w:val="24"/>
        </w:rPr>
        <w:t>2.6.1.3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 подпункте 1 </w:t>
      </w:r>
      <w:r>
        <w:rPr>
          <w:rFonts w:ascii="Arial" w:eastAsia="Calibri" w:hAnsi="Arial" w:cs="Arial"/>
          <w:sz w:val="24"/>
          <w:szCs w:val="24"/>
          <w:lang w:eastAsia="ru-RU"/>
        </w:rPr>
        <w:t>слова «</w:t>
      </w:r>
      <w:r>
        <w:rPr>
          <w:rFonts w:ascii="Arial" w:eastAsia="Calibri" w:hAnsi="Arial" w:cs="Arial"/>
          <w:sz w:val="24"/>
          <w:szCs w:val="24"/>
        </w:rPr>
        <w:t xml:space="preserve">указанного в пункте </w:t>
      </w:r>
      <w:r>
        <w:rPr>
          <w:rFonts w:ascii="Arial" w:eastAsia="Times New Roman" w:hAnsi="Arial" w:cs="Arial"/>
          <w:sz w:val="24"/>
          <w:szCs w:val="24"/>
        </w:rPr>
        <w:t>1.2.1</w:t>
      </w:r>
      <w:r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>
        <w:rPr>
          <w:rFonts w:ascii="Arial" w:eastAsia="Calibri" w:hAnsi="Arial" w:cs="Arial"/>
          <w:sz w:val="24"/>
          <w:szCs w:val="24"/>
        </w:rPr>
        <w:t>ук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занного в </w:t>
      </w:r>
      <w:r>
        <w:rPr>
          <w:rFonts w:ascii="Arial" w:eastAsia="Times New Roman" w:hAnsi="Arial" w:cs="Arial"/>
          <w:sz w:val="24"/>
          <w:szCs w:val="24"/>
        </w:rPr>
        <w:t>пунктах 1.2.1, 1.2.3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 подпункте 2 </w:t>
      </w:r>
      <w:r>
        <w:rPr>
          <w:rFonts w:ascii="Arial" w:eastAsia="Calibri" w:hAnsi="Arial" w:cs="Arial"/>
          <w:sz w:val="24"/>
          <w:szCs w:val="24"/>
          <w:lang w:eastAsia="ru-RU"/>
        </w:rPr>
        <w:t>слова «</w:t>
      </w:r>
      <w:r>
        <w:rPr>
          <w:rFonts w:ascii="Arial" w:eastAsia="Calibri" w:hAnsi="Arial" w:cs="Arial"/>
          <w:sz w:val="24"/>
          <w:szCs w:val="24"/>
        </w:rPr>
        <w:t xml:space="preserve">указанного в </w:t>
      </w:r>
      <w:r>
        <w:rPr>
          <w:rFonts w:ascii="Arial" w:eastAsia="Times New Roman" w:hAnsi="Arial" w:cs="Arial"/>
          <w:sz w:val="24"/>
          <w:szCs w:val="24"/>
        </w:rPr>
        <w:t>пункте 1.2.2</w:t>
      </w:r>
      <w:r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>
        <w:rPr>
          <w:rFonts w:ascii="Arial" w:eastAsia="Calibri" w:hAnsi="Arial" w:cs="Arial"/>
          <w:sz w:val="24"/>
          <w:szCs w:val="24"/>
        </w:rPr>
        <w:t>ук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занного в </w:t>
      </w:r>
      <w:r>
        <w:rPr>
          <w:rFonts w:ascii="Arial" w:eastAsia="Times New Roman" w:hAnsi="Arial" w:cs="Arial"/>
          <w:sz w:val="24"/>
          <w:szCs w:val="24"/>
        </w:rPr>
        <w:t>пунктах 1.2.2, 1.2.4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1.8. В пункте 2.6.2.2.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- в подпункте 1: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подпункт «б» исключить;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подпункты «в», «г», «д» считать соответственно подпунктами «б», «в», «г»;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подпункт «г» изложить в следующей редакции: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«г</w:t>
      </w:r>
      <w:r>
        <w:rPr>
          <w:rFonts w:ascii="Arial" w:eastAsia="Times New Roman" w:hAnsi="Arial" w:cs="Arial"/>
          <w:sz w:val="24"/>
          <w:szCs w:val="24"/>
        </w:rPr>
        <w:t>) технический план гаража (в случае, если ранее государственный к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дастровый учет указанного га</w:t>
      </w:r>
      <w:r>
        <w:rPr>
          <w:rFonts w:ascii="Arial" w:eastAsia="Times New Roman" w:hAnsi="Arial" w:cs="Arial"/>
          <w:sz w:val="24"/>
          <w:szCs w:val="24"/>
        </w:rPr>
        <w:t>ража не был осуществлен)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- в подпункте 2: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подпункт «в» исключить;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подпункты «г», «д», «е» считать соответственно подпунктами «в», «г», «д»;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подпункт «д» изложить в следующей редакции: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«д) технический план гаража (в случае, если ранее государственный к</w:t>
      </w:r>
      <w:r>
        <w:rPr>
          <w:rFonts w:ascii="Arial" w:eastAsia="Calibri" w:hAnsi="Arial" w:cs="Arial"/>
          <w:sz w:val="24"/>
          <w:szCs w:val="24"/>
          <w:lang w:eastAsia="ru-RU"/>
        </w:rPr>
        <w:t>а</w:t>
      </w:r>
      <w:r>
        <w:rPr>
          <w:rFonts w:ascii="Arial" w:eastAsia="Calibri" w:hAnsi="Arial" w:cs="Arial"/>
          <w:sz w:val="24"/>
          <w:szCs w:val="24"/>
          <w:lang w:eastAsia="ru-RU"/>
        </w:rPr>
        <w:t>да</w:t>
      </w:r>
      <w:r>
        <w:rPr>
          <w:rFonts w:ascii="Arial" w:eastAsia="Calibri" w:hAnsi="Arial" w:cs="Arial"/>
          <w:sz w:val="24"/>
          <w:szCs w:val="24"/>
          <w:lang w:eastAsia="ru-RU"/>
        </w:rPr>
        <w:t>стровый учет указанного гаража не был осуществлен).»;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- подпункт 6 изложить в следующей редакции: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«6) </w:t>
      </w:r>
      <w:r>
        <w:rPr>
          <w:rFonts w:ascii="Arial" w:eastAsia="Times New Roman" w:hAnsi="Arial" w:cs="Arial"/>
          <w:sz w:val="24"/>
          <w:szCs w:val="24"/>
        </w:rPr>
        <w:t>заявитель, указанный в пункте 1.2.7 настоящего административного р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гламента </w:t>
      </w:r>
      <w:r>
        <w:rPr>
          <w:rFonts w:ascii="Arial" w:eastAsia="Times New Roman" w:hAnsi="Arial" w:cs="Arial"/>
          <w:sz w:val="24"/>
          <w:szCs w:val="24"/>
          <w:lang w:eastAsia="ru-RU"/>
        </w:rPr>
        <w:t>наряду с документами, предусмотренными</w:t>
      </w:r>
      <w:r>
        <w:rPr>
          <w:rFonts w:ascii="Arial" w:eastAsia="Times New Roman" w:hAnsi="Arial" w:cs="Arial"/>
          <w:sz w:val="24"/>
          <w:szCs w:val="24"/>
        </w:rPr>
        <w:t xml:space="preserve"> подпунктами 1-5 настоящего пункта</w:t>
      </w:r>
      <w:r>
        <w:rPr>
          <w:rFonts w:ascii="Arial" w:eastAsia="Times New Roman" w:hAnsi="Arial" w:cs="Arial"/>
          <w:sz w:val="24"/>
          <w:szCs w:val="24"/>
          <w:lang w:eastAsia="ru-RU"/>
        </w:rPr>
        <w:t>,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ставляет: 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свидетельство о праве на наследство, подтверждающее, что таким насле</w:t>
      </w:r>
      <w:r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>ником было унаследовано имущество данного гражданина.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Заявители, указанные в пунктах 1.2.2, 1.2.4 – 1.2.7 (в отношении наследн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ков граждан, указанных в пунктах 1.2.2, 1.2.4) на</w:t>
      </w:r>
      <w:r>
        <w:rPr>
          <w:rFonts w:ascii="Arial" w:eastAsia="Times New Roman" w:hAnsi="Arial" w:cs="Arial"/>
          <w:sz w:val="24"/>
          <w:szCs w:val="24"/>
        </w:rPr>
        <w:t>стоящего административного р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>гламента вправе не представлять документы, предусмотренные подпунктами "а"–"б" подпункта 2 настоящего пункта, если ранее они представлялись иными член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ми гаражного кооператива.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- подпункт 7 исключить;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1.9. В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пункте </w:t>
      </w:r>
      <w:r>
        <w:rPr>
          <w:rFonts w:ascii="Arial" w:eastAsia="Times New Roman" w:hAnsi="Arial" w:cs="Arial"/>
          <w:sz w:val="24"/>
          <w:szCs w:val="24"/>
        </w:rPr>
        <w:t xml:space="preserve">2.6.2.3. 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егламента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 подпункте 1 </w:t>
      </w:r>
      <w:r>
        <w:rPr>
          <w:rFonts w:ascii="Arial" w:eastAsia="Calibri" w:hAnsi="Arial" w:cs="Arial"/>
          <w:sz w:val="24"/>
          <w:szCs w:val="24"/>
          <w:lang w:eastAsia="ru-RU"/>
        </w:rPr>
        <w:t>слова «</w:t>
      </w:r>
      <w:r>
        <w:rPr>
          <w:rFonts w:ascii="Arial" w:eastAsia="Calibri" w:hAnsi="Arial" w:cs="Arial"/>
          <w:sz w:val="24"/>
          <w:szCs w:val="24"/>
        </w:rPr>
        <w:t xml:space="preserve">указанного в </w:t>
      </w:r>
      <w:r>
        <w:rPr>
          <w:rFonts w:ascii="Arial" w:eastAsia="Times New Roman" w:hAnsi="Arial" w:cs="Arial"/>
          <w:sz w:val="24"/>
          <w:szCs w:val="24"/>
        </w:rPr>
        <w:t>пункте 1.2.1</w:t>
      </w:r>
      <w:r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>
        <w:rPr>
          <w:rFonts w:ascii="Arial" w:eastAsia="Calibri" w:hAnsi="Arial" w:cs="Arial"/>
          <w:sz w:val="24"/>
          <w:szCs w:val="24"/>
        </w:rPr>
        <w:t>ук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занного в </w:t>
      </w:r>
      <w:r>
        <w:rPr>
          <w:rFonts w:ascii="Arial" w:eastAsia="Times New Roman" w:hAnsi="Arial" w:cs="Arial"/>
          <w:sz w:val="24"/>
          <w:szCs w:val="24"/>
        </w:rPr>
        <w:t>пунктах 1.2.1, 1.2.3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 подпункте 2 </w:t>
      </w:r>
      <w:r>
        <w:rPr>
          <w:rFonts w:ascii="Arial" w:eastAsia="Calibri" w:hAnsi="Arial" w:cs="Arial"/>
          <w:sz w:val="24"/>
          <w:szCs w:val="24"/>
          <w:lang w:eastAsia="ru-RU"/>
        </w:rPr>
        <w:t>слова «</w:t>
      </w:r>
      <w:r>
        <w:rPr>
          <w:rFonts w:ascii="Arial" w:eastAsia="Calibri" w:hAnsi="Arial" w:cs="Arial"/>
          <w:sz w:val="24"/>
          <w:szCs w:val="24"/>
        </w:rPr>
        <w:t xml:space="preserve">указанного в </w:t>
      </w:r>
      <w:r>
        <w:rPr>
          <w:rFonts w:ascii="Arial" w:eastAsia="Times New Roman" w:hAnsi="Arial" w:cs="Arial"/>
          <w:sz w:val="24"/>
          <w:szCs w:val="24"/>
        </w:rPr>
        <w:t>пункте 1.2.2</w:t>
      </w:r>
      <w:r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>
        <w:rPr>
          <w:rFonts w:ascii="Arial" w:eastAsia="Calibri" w:hAnsi="Arial" w:cs="Arial"/>
          <w:sz w:val="24"/>
          <w:szCs w:val="24"/>
        </w:rPr>
        <w:t>ук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занного в </w:t>
      </w:r>
      <w:r>
        <w:rPr>
          <w:rFonts w:ascii="Arial" w:eastAsia="Times New Roman" w:hAnsi="Arial" w:cs="Arial"/>
          <w:sz w:val="24"/>
          <w:szCs w:val="24"/>
        </w:rPr>
        <w:t>пунктах 1.2.2, 1.2.4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1.10. В подпункте 1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пункта </w:t>
      </w:r>
      <w:r>
        <w:rPr>
          <w:rFonts w:ascii="Arial" w:eastAsia="Times New Roman" w:hAnsi="Arial" w:cs="Arial"/>
          <w:sz w:val="24"/>
          <w:szCs w:val="24"/>
        </w:rPr>
        <w:t xml:space="preserve">2.6.3.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слова «</w:t>
      </w:r>
      <w:r>
        <w:rPr>
          <w:rFonts w:ascii="Arial" w:eastAsia="Calibri" w:hAnsi="Arial" w:cs="Arial"/>
          <w:sz w:val="24"/>
          <w:szCs w:val="24"/>
        </w:rPr>
        <w:t xml:space="preserve">указанного в </w:t>
      </w:r>
      <w:r>
        <w:rPr>
          <w:rFonts w:ascii="Arial" w:eastAsia="Times New Roman" w:hAnsi="Arial" w:cs="Arial"/>
          <w:sz w:val="24"/>
          <w:szCs w:val="24"/>
        </w:rPr>
        <w:t>пункте 1.2.2</w:t>
      </w:r>
      <w:r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>
        <w:rPr>
          <w:rFonts w:ascii="Arial" w:eastAsia="Calibri" w:hAnsi="Arial" w:cs="Arial"/>
          <w:sz w:val="24"/>
          <w:szCs w:val="24"/>
        </w:rPr>
        <w:t xml:space="preserve">указанного в </w:t>
      </w:r>
      <w:r>
        <w:rPr>
          <w:rFonts w:ascii="Arial" w:eastAsia="Times New Roman" w:hAnsi="Arial" w:cs="Arial"/>
          <w:sz w:val="24"/>
          <w:szCs w:val="24"/>
        </w:rPr>
        <w:t>пунктах 1.2.2, 1.2.4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1.11. В подпункте 1 пункта 2.10.2.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- абзац шестой подпункта изложить в следующей редакции: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разработка схемы расположения земельного участка, о</w:t>
      </w:r>
      <w:r>
        <w:rPr>
          <w:rFonts w:ascii="Arial" w:eastAsia="Times New Roman" w:hAnsi="Arial" w:cs="Arial"/>
          <w:sz w:val="24"/>
          <w:szCs w:val="24"/>
        </w:rPr>
        <w:t>бразование кот</w:t>
      </w:r>
      <w:r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рого допускается исключительно в соответствии с утвержденным проектом меж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>вания территории;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1.12. Пункт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2.10.3. Регламента </w:t>
      </w:r>
      <w:r>
        <w:rPr>
          <w:rFonts w:ascii="Arial" w:eastAsia="Calibri" w:hAnsi="Arial" w:cs="Arial"/>
          <w:sz w:val="24"/>
          <w:szCs w:val="24"/>
          <w:lang w:eastAsia="ru-RU"/>
        </w:rPr>
        <w:t>изложить в следующей редакции: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2.10.3. Уполномоченный орган принимает решение об отказе в предвар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тельном </w:t>
      </w:r>
      <w:r>
        <w:rPr>
          <w:rFonts w:ascii="Arial" w:eastAsia="Times New Roman" w:hAnsi="Arial" w:cs="Arial"/>
          <w:sz w:val="24"/>
          <w:szCs w:val="24"/>
          <w:lang w:eastAsia="ru-RU"/>
        </w:rPr>
        <w:t>согласовании предоставления земельного участка в аренду при наличии любого из  оснований, указанных в пункте 2.10.2 настоящего</w:t>
      </w:r>
      <w:r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</w:t>
      </w:r>
      <w:r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случая, если указанный земельный участок, являе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ся ограниченным в обороте.»;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1.13. П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ункт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2.10.4. Регламента </w:t>
      </w:r>
      <w:r>
        <w:rPr>
          <w:rFonts w:ascii="Arial" w:eastAsia="Calibri" w:hAnsi="Arial" w:cs="Arial"/>
          <w:sz w:val="24"/>
          <w:szCs w:val="24"/>
          <w:lang w:eastAsia="ru-RU"/>
        </w:rPr>
        <w:t>изложить в следующей редакции: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«2.10.4.</w:t>
      </w:r>
      <w:r>
        <w:rPr>
          <w:rFonts w:ascii="Arial" w:eastAsia="Times New Roman" w:hAnsi="Arial" w:cs="Arial"/>
          <w:sz w:val="24"/>
          <w:szCs w:val="24"/>
        </w:rPr>
        <w:t xml:space="preserve"> В принятии решения о предварительном согласовании, при отсу</w:t>
      </w:r>
      <w:r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>ствии иных оснований, предусмотренных подпунктами 1-4 пункта 2.10.2, пунктом 2.10.3 настоящего административного регламента не может</w:t>
      </w:r>
      <w:r>
        <w:rPr>
          <w:rFonts w:ascii="Arial" w:eastAsia="Times New Roman" w:hAnsi="Arial" w:cs="Arial"/>
          <w:sz w:val="24"/>
          <w:szCs w:val="24"/>
        </w:rPr>
        <w:t xml:space="preserve"> быть отказано только на основании: 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- отсутствия в градостроительном регламенте, утвержденном применител</w:t>
      </w:r>
      <w:r>
        <w:rPr>
          <w:rFonts w:ascii="Arial" w:eastAsia="Times New Roman" w:hAnsi="Arial" w:cs="Arial"/>
          <w:sz w:val="24"/>
          <w:szCs w:val="24"/>
        </w:rPr>
        <w:t>ь</w:t>
      </w:r>
      <w:r>
        <w:rPr>
          <w:rFonts w:ascii="Arial" w:eastAsia="Times New Roman" w:hAnsi="Arial" w:cs="Arial"/>
          <w:sz w:val="24"/>
          <w:szCs w:val="24"/>
        </w:rPr>
        <w:t>но к территориальной зоне, в границах которой находится гараж, вида разреше</w:t>
      </w:r>
      <w:r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ного использования земельных участков и объектов капитального строительств</w:t>
      </w:r>
      <w:r>
        <w:rPr>
          <w:rFonts w:ascii="Arial" w:eastAsia="Times New Roman" w:hAnsi="Arial" w:cs="Arial"/>
          <w:sz w:val="24"/>
          <w:szCs w:val="24"/>
        </w:rPr>
        <w:t>а, предусматривающего возможность размещения гаражей в границах такой терр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ториальной зоны, либо на основании того, что испрашиваемый земельный участок предоставлен гаражному кооперативу;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- отсутствия в едином государственном реестре юридических лиц сведен</w:t>
      </w:r>
      <w:r>
        <w:rPr>
          <w:rFonts w:ascii="Arial" w:eastAsia="Times New Roman" w:hAnsi="Arial" w:cs="Arial"/>
          <w:sz w:val="24"/>
          <w:szCs w:val="24"/>
        </w:rPr>
        <w:t>ий о гаражном кооперативе.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1.14. Пункт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2.10.6. Регламента </w:t>
      </w:r>
      <w:r>
        <w:rPr>
          <w:rFonts w:ascii="Arial" w:eastAsia="Calibri" w:hAnsi="Arial" w:cs="Arial"/>
          <w:sz w:val="24"/>
          <w:szCs w:val="24"/>
          <w:lang w:eastAsia="ru-RU"/>
        </w:rPr>
        <w:t>изложить в следующей редакции: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«2.10.6. Уполномоченный орган принимает решение об отказе в предоста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лении земельного участка в аренду при наличии любого из оснований, указанных в пункте 2.10.5 нас</w:t>
      </w:r>
      <w:r>
        <w:rPr>
          <w:rFonts w:ascii="Arial" w:eastAsia="Times New Roman" w:hAnsi="Arial" w:cs="Arial"/>
          <w:sz w:val="24"/>
          <w:szCs w:val="24"/>
          <w:lang w:eastAsia="ru-RU"/>
        </w:rPr>
        <w:t>тоящего</w:t>
      </w:r>
      <w:r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</w:t>
      </w:r>
      <w:r>
        <w:rPr>
          <w:rFonts w:ascii="Arial" w:eastAsia="Times New Roman" w:hAnsi="Arial" w:cs="Arial"/>
          <w:sz w:val="24"/>
          <w:szCs w:val="24"/>
          <w:lang w:eastAsia="ru-RU"/>
        </w:rPr>
        <w:t>, за исключением сл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чая, если испрашиваемый земельный участок, является ограниченным в обор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те.»;</w:t>
      </w:r>
    </w:p>
    <w:p w:rsidR="00843A5E" w:rsidRDefault="0061313A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1.15. Пункт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2.10.7. Регламента </w:t>
      </w:r>
      <w:r>
        <w:rPr>
          <w:rFonts w:ascii="Arial" w:eastAsia="Calibri" w:hAnsi="Arial" w:cs="Arial"/>
          <w:sz w:val="24"/>
          <w:szCs w:val="24"/>
          <w:lang w:eastAsia="ru-RU"/>
        </w:rPr>
        <w:t>изложить в следующей редакции: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«2.10.7. В принятии решения о предоставлении земельного учас</w:t>
      </w:r>
      <w:r>
        <w:rPr>
          <w:rFonts w:ascii="Arial" w:eastAsia="Times New Roman" w:hAnsi="Arial" w:cs="Arial"/>
          <w:sz w:val="24"/>
          <w:szCs w:val="24"/>
          <w:lang w:eastAsia="ru-RU"/>
        </w:rPr>
        <w:t>тка в со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ственность бесплатно (аренду), при отсутствии иных оснований, предусмотренных пунктами 2.10.5, 2.10.6, не может быть отказано только на основании: 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отсутствия в градостроительном регламенте, утвержденном применител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но к территориальной зоне, в г</w:t>
      </w:r>
      <w:r>
        <w:rPr>
          <w:rFonts w:ascii="Arial" w:eastAsia="Times New Roman" w:hAnsi="Arial" w:cs="Arial"/>
          <w:sz w:val="24"/>
          <w:szCs w:val="24"/>
          <w:lang w:eastAsia="ru-RU"/>
        </w:rPr>
        <w:t>раницах которой находится гараж, вида разреше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использования земельных участков и объектов капитального строительства, предусматривающего возможность размещения гаражей в границах такой терр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ториальной зоны, либо на основании того, что испрашиваемый зе</w:t>
      </w:r>
      <w:r>
        <w:rPr>
          <w:rFonts w:ascii="Arial" w:eastAsia="Times New Roman" w:hAnsi="Arial" w:cs="Arial"/>
          <w:sz w:val="24"/>
          <w:szCs w:val="24"/>
          <w:lang w:eastAsia="ru-RU"/>
        </w:rPr>
        <w:t>мельный участок предоставлен гаражному кооперативу;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отсутствия в едином государственном реестре юридических лиц сведений о гаражном кооперативе.».</w:t>
      </w:r>
    </w:p>
    <w:p w:rsidR="00843A5E" w:rsidRDefault="0061313A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2. Настоящее постановление вступает в силу после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обнар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дования.</w:t>
      </w:r>
    </w:p>
    <w:p w:rsidR="00843A5E" w:rsidRDefault="00843A5E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A5E" w:rsidRDefault="00843A5E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A5E" w:rsidRDefault="00843A5E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13A" w:rsidRDefault="0061313A">
      <w:pPr>
        <w:suppressAutoHyphens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Захаровского</w:t>
      </w:r>
    </w:p>
    <w:p w:rsidR="00843A5E" w:rsidRDefault="0061313A">
      <w:pPr>
        <w:suppressAutoHyphens w:val="0"/>
        <w:spacing w:after="0" w:line="240" w:lineRule="auto"/>
        <w:jc w:val="both"/>
        <w:outlineLvl w:val="1"/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Е. А. Кийков</w:t>
      </w:r>
    </w:p>
    <w:sectPr w:rsidR="00843A5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5E"/>
    <w:rsid w:val="0061313A"/>
    <w:rsid w:val="008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E66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E6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95&amp;dst=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1799</Words>
  <Characters>10259</Characters>
  <Application>Microsoft Office Word</Application>
  <DocSecurity>0</DocSecurity>
  <Lines>85</Lines>
  <Paragraphs>24</Paragraphs>
  <ScaleCrop>false</ScaleCrop>
  <Company>Microsoft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14</cp:revision>
  <dcterms:created xsi:type="dcterms:W3CDTF">2024-09-04T10:29:00Z</dcterms:created>
  <dcterms:modified xsi:type="dcterms:W3CDTF">2024-09-12T05:45:00Z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